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firstLine="0"/>
        <w:jc w:val="center"/>
        <w:rPr>
          <w:rFonts w:hint="eastAsia" w:ascii="宋体" w:hAnsi="宋体" w:eastAsia="宋体" w:cs="宋体"/>
          <w:b/>
          <w:bCs/>
          <w:sz w:val="28"/>
          <w:szCs w:val="36"/>
        </w:rPr>
      </w:pPr>
      <w:r>
        <w:rPr>
          <w:rFonts w:hint="eastAsia" w:ascii="宋体" w:hAnsi="宋体" w:eastAsia="宋体" w:cs="宋体"/>
          <w:b/>
          <w:bCs/>
          <w:sz w:val="28"/>
          <w:szCs w:val="36"/>
        </w:rPr>
        <w:t>数学与计算科学学院2022年硕士研究生复试录取工作方案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做好我校2022年硕士研究生复试录取工作，根据《关于做好2022全国硕士研究生招生录取工作的通知》（教学司〔2022〕4号）、《2022年全国硕士研究生招生工作管理规定》(教学函〔2021〕2号)和《教育部关于加强硕士研究生招生复试工作的指导意见》(教学〔2006〕4 号)等文件精神，经学院招生领导小组会议研究决定，制订本方案。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深入贯彻落实习近平总书记关于统筹推进新冠肺炎疫情防控和经济社会发展工作的重要讲话和重要指示批示精神，在确保安全性、公平性和科学性的基础上，统筹兼顾、精准施策、严格管理，稳妥做好2022年我院硕士研究生复试工作。复试工作坚持科学选拔、公平公正、全面考察、突出重点、客观评价、以人为本的原则，做到政策透明、规则公平、程序公正、结果公开、监督机制健全，维护考生合法权益，确保生源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1、学院研究生招生工作领导小组（兼学院复试突发事件应急管理领导小组）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长：杨银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副组长：张普、易年余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员（按姓名笔画为序）：王文强、向开南、刘建州、李明军、杨伟、杨银、肖爱国、肖跃龙、张汉君、易年余、周勇、黄云清、彭拯、蒋凯、喻祖国、舒适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书：刘琼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责：统筹协调、全面负责我院的硕士研究生复试、疫情防控、宣传、后勤等相关工作。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2、复试监督小组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长：张普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员（按姓名笔画为序）：田坤、刘红良、杨银、袁海专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责：对相关人员进行政策、纪律、规则及程序等方面的教育和培训，负责学院复试过程及疫情防控工作各个环节的监督检查，受理考生申诉并及时妥善处理，公开有关信息。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3、学科专业复试小组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长：杨银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副组长（按姓名笔画为序）：王文强、张汉君、易年余、舒适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员：今年拟招生的研究生导师代表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责：负责专业课考试、英语口语、综合面试、疫情防控等，以及其它复试工作的具体实施。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三、招生计划</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901"/>
        <w:gridCol w:w="1978"/>
        <w:gridCol w:w="344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jc w:val="center"/>
        </w:trPr>
        <w:tc>
          <w:tcPr>
            <w:tcW w:w="9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å®‹ä½“" w:hAnsi="å®‹ä½“" w:eastAsia="å®‹ä½“" w:cs="å®‹ä½“"/>
                <w:spacing w:val="4"/>
                <w:sz w:val="24"/>
                <w:szCs w:val="24"/>
              </w:rPr>
            </w:pPr>
            <w:r>
              <w:rPr>
                <w:rStyle w:val="6"/>
                <w:rFonts w:hint="eastAsia" w:ascii="宋体" w:hAnsi="宋体" w:eastAsia="宋体" w:cs="宋体"/>
                <w:b/>
                <w:bCs/>
                <w:i w:val="0"/>
                <w:iCs w:val="0"/>
                <w:caps w:val="0"/>
                <w:color w:val="333333"/>
                <w:spacing w:val="0"/>
                <w:sz w:val="24"/>
                <w:szCs w:val="24"/>
                <w:shd w:val="clear" w:fill="FFFFFF"/>
              </w:rPr>
              <w:t>类别</w:t>
            </w:r>
          </w:p>
        </w:tc>
        <w:tc>
          <w:tcPr>
            <w:tcW w:w="98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Style w:val="6"/>
                <w:rFonts w:hint="eastAsia" w:ascii="宋体" w:hAnsi="宋体" w:eastAsia="宋体" w:cs="宋体"/>
                <w:b/>
                <w:bCs/>
                <w:i w:val="0"/>
                <w:iCs w:val="0"/>
                <w:caps w:val="0"/>
                <w:color w:val="333333"/>
                <w:spacing w:val="0"/>
                <w:sz w:val="24"/>
                <w:szCs w:val="24"/>
                <w:shd w:val="clear" w:fill="FFFFFF"/>
              </w:rPr>
              <w:t>专业</w:t>
            </w:r>
          </w:p>
        </w:tc>
        <w:tc>
          <w:tcPr>
            <w:tcW w:w="171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Style w:val="6"/>
                <w:rFonts w:hint="eastAsia" w:ascii="宋体" w:hAnsi="宋体" w:eastAsia="宋体" w:cs="宋体"/>
                <w:b/>
                <w:bCs/>
                <w:i w:val="0"/>
                <w:iCs w:val="0"/>
                <w:caps w:val="0"/>
                <w:color w:val="333333"/>
                <w:spacing w:val="0"/>
                <w:sz w:val="24"/>
                <w:szCs w:val="24"/>
                <w:shd w:val="clear" w:fill="FFFFFF"/>
              </w:rPr>
              <w:t>拟招生计划</w:t>
            </w:r>
          </w:p>
        </w:tc>
        <w:tc>
          <w:tcPr>
            <w:tcW w:w="87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Style w:val="6"/>
                <w:rFonts w:hint="eastAsia" w:ascii="宋体" w:hAnsi="宋体" w:eastAsia="宋体" w:cs="宋体"/>
                <w:b/>
                <w:bCs/>
                <w:i w:val="0"/>
                <w:iCs w:val="0"/>
                <w:caps w:val="0"/>
                <w:color w:val="333333"/>
                <w:spacing w:val="0"/>
                <w:sz w:val="24"/>
                <w:szCs w:val="24"/>
                <w:shd w:val="clear" w:fill="FFFFFF"/>
              </w:rPr>
              <w:t>是否接收调剂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9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学术型</w:t>
            </w:r>
          </w:p>
        </w:tc>
        <w:tc>
          <w:tcPr>
            <w:tcW w:w="98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070100 数学</w:t>
            </w:r>
          </w:p>
        </w:tc>
        <w:tc>
          <w:tcPr>
            <w:tcW w:w="171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139人</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(含推免生1人)</w:t>
            </w:r>
          </w:p>
        </w:tc>
        <w:tc>
          <w:tcPr>
            <w:tcW w:w="87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9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学术型</w:t>
            </w:r>
          </w:p>
        </w:tc>
        <w:tc>
          <w:tcPr>
            <w:tcW w:w="98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071400 统计学</w:t>
            </w:r>
          </w:p>
        </w:tc>
        <w:tc>
          <w:tcPr>
            <w:tcW w:w="171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15人</w:t>
            </w:r>
          </w:p>
        </w:tc>
        <w:tc>
          <w:tcPr>
            <w:tcW w:w="87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945"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专业型</w:t>
            </w:r>
          </w:p>
        </w:tc>
        <w:tc>
          <w:tcPr>
            <w:tcW w:w="983"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025200 应用统计</w:t>
            </w:r>
          </w:p>
        </w:tc>
        <w:tc>
          <w:tcPr>
            <w:tcW w:w="171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71人</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（含退役大学生士兵计划1人）</w:t>
            </w:r>
          </w:p>
        </w:tc>
        <w:tc>
          <w:tcPr>
            <w:tcW w:w="870" w:type="dxa"/>
            <w:shd w:val="clear" w:color="auto" w:fill="FFFFFF"/>
            <w:tcMar>
              <w:top w:w="0" w:type="dxa"/>
              <w:left w:w="53" w:type="dxa"/>
              <w:bottom w:w="0" w:type="dxa"/>
              <w:right w:w="53" w:type="dxa"/>
            </w:tcMar>
            <w:vAlign w:val="center"/>
          </w:tcPr>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shd w:val="clear" w:fill="FFFFFF"/>
              </w:rPr>
              <w:t>是</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备注：根据复试情况，各专业实际录取人数可能会略有调整，具体以实际招生人数为准。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四、复试基本条件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1.我院数学（070100）、统计学（071400）和应用统计（02500）的复试分数线如下：</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616"/>
        <w:gridCol w:w="1176"/>
        <w:gridCol w:w="2586"/>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268" w:type="dxa"/>
            <w:tcBorders>
              <w:top w:val="single" w:color="auto" w:sz="2" w:space="0"/>
              <w:left w:val="single" w:color="auto" w:sz="2" w:space="0"/>
              <w:bottom w:val="single" w:color="auto" w:sz="2" w:space="0"/>
              <w:right w:val="single" w:color="auto" w:sz="2" w:space="0"/>
            </w:tcBorders>
            <w:shd w:val="clear" w:color="auto" w:fill="FFFFFF"/>
            <w:tcMar>
              <w:top w:w="0" w:type="dxa"/>
              <w:left w:w="38" w:type="dxa"/>
              <w:bottom w:w="0" w:type="dxa"/>
              <w:right w:w="38"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专业</w:t>
            </w:r>
          </w:p>
        </w:tc>
        <w:tc>
          <w:tcPr>
            <w:tcW w:w="570" w:type="dxa"/>
            <w:tcBorders>
              <w:top w:val="single" w:color="auto" w:sz="2" w:space="0"/>
              <w:left w:val="nil"/>
              <w:bottom w:val="single" w:color="auto" w:sz="2" w:space="0"/>
              <w:right w:val="single" w:color="auto" w:sz="2" w:space="0"/>
            </w:tcBorders>
            <w:shd w:val="clear" w:color="auto" w:fill="FFFFFF"/>
            <w:tcMar>
              <w:top w:w="0" w:type="dxa"/>
              <w:left w:w="38" w:type="dxa"/>
              <w:bottom w:w="0" w:type="dxa"/>
              <w:right w:w="38"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总分</w:t>
            </w:r>
          </w:p>
        </w:tc>
        <w:tc>
          <w:tcPr>
            <w:tcW w:w="1253" w:type="dxa"/>
            <w:tcBorders>
              <w:top w:val="single" w:color="auto" w:sz="2" w:space="0"/>
              <w:left w:val="nil"/>
              <w:bottom w:val="single" w:color="auto" w:sz="2" w:space="0"/>
              <w:right w:val="single" w:color="auto" w:sz="2" w:space="0"/>
            </w:tcBorders>
            <w:shd w:val="clear" w:color="auto" w:fill="FFFFFF"/>
            <w:tcMar>
              <w:top w:w="0" w:type="dxa"/>
              <w:left w:w="38" w:type="dxa"/>
              <w:bottom w:w="0" w:type="dxa"/>
              <w:right w:w="38"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单科(满分=100分)</w:t>
            </w:r>
          </w:p>
        </w:tc>
        <w:tc>
          <w:tcPr>
            <w:tcW w:w="1305" w:type="dxa"/>
            <w:tcBorders>
              <w:top w:val="single" w:color="auto" w:sz="2" w:space="0"/>
              <w:left w:val="nil"/>
              <w:bottom w:val="single" w:color="auto" w:sz="2" w:space="0"/>
              <w:right w:val="single" w:color="auto" w:sz="2" w:space="0"/>
            </w:tcBorders>
            <w:shd w:val="clear" w:color="auto" w:fill="FFFFFF"/>
            <w:tcMar>
              <w:top w:w="0" w:type="dxa"/>
              <w:left w:w="38" w:type="dxa"/>
              <w:bottom w:w="0" w:type="dxa"/>
              <w:right w:w="38"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单科(满分&gt;100分)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268" w:type="dxa"/>
            <w:tcBorders>
              <w:top w:val="nil"/>
              <w:left w:val="single" w:color="auto" w:sz="2" w:space="0"/>
              <w:bottom w:val="single" w:color="auto" w:sz="2" w:space="0"/>
              <w:right w:val="single" w:color="auto" w:sz="2" w:space="0"/>
            </w:tcBorders>
            <w:shd w:val="clear" w:color="auto" w:fill="FFFFFF"/>
            <w:tcMar>
              <w:top w:w="0" w:type="dxa"/>
              <w:left w:w="38" w:type="dxa"/>
              <w:bottom w:w="0" w:type="dxa"/>
              <w:right w:w="38"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070100 数学</w:t>
            </w:r>
          </w:p>
        </w:tc>
        <w:tc>
          <w:tcPr>
            <w:tcW w:w="570" w:type="dxa"/>
            <w:tcBorders>
              <w:top w:val="nil"/>
              <w:left w:val="nil"/>
              <w:bottom w:val="single" w:color="auto" w:sz="2" w:space="0"/>
              <w:right w:val="single" w:color="auto" w:sz="2" w:space="0"/>
            </w:tcBorders>
            <w:shd w:val="clear" w:color="auto" w:fill="FFFFFF"/>
            <w:tcMar>
              <w:top w:w="0" w:type="dxa"/>
              <w:left w:w="38" w:type="dxa"/>
              <w:bottom w:w="0" w:type="dxa"/>
              <w:right w:w="38"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290</w:t>
            </w:r>
          </w:p>
        </w:tc>
        <w:tc>
          <w:tcPr>
            <w:tcW w:w="1253" w:type="dxa"/>
            <w:tcBorders>
              <w:top w:val="nil"/>
              <w:left w:val="nil"/>
              <w:bottom w:val="single" w:color="auto" w:sz="2" w:space="0"/>
              <w:right w:val="single" w:color="auto" w:sz="2" w:space="0"/>
            </w:tcBorders>
            <w:shd w:val="clear" w:color="auto" w:fill="FFFFFF"/>
            <w:tcMar>
              <w:top w:w="0" w:type="dxa"/>
              <w:left w:w="38" w:type="dxa"/>
              <w:bottom w:w="0" w:type="dxa"/>
              <w:right w:w="38"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39</w:t>
            </w:r>
          </w:p>
        </w:tc>
        <w:tc>
          <w:tcPr>
            <w:tcW w:w="1305" w:type="dxa"/>
            <w:tcBorders>
              <w:top w:val="nil"/>
              <w:left w:val="nil"/>
              <w:bottom w:val="single" w:color="auto" w:sz="2" w:space="0"/>
              <w:right w:val="single" w:color="auto" w:sz="2" w:space="0"/>
            </w:tcBorders>
            <w:shd w:val="clear" w:color="auto" w:fill="FFFFFF"/>
            <w:tcMar>
              <w:top w:w="0" w:type="dxa"/>
              <w:left w:w="38" w:type="dxa"/>
              <w:bottom w:w="0" w:type="dxa"/>
              <w:right w:w="38"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268" w:type="dxa"/>
            <w:tcBorders>
              <w:top w:val="nil"/>
              <w:left w:val="single" w:color="auto" w:sz="2" w:space="0"/>
              <w:bottom w:val="single" w:color="auto" w:sz="2" w:space="0"/>
              <w:right w:val="single" w:color="auto" w:sz="2"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071400 统计学</w:t>
            </w:r>
          </w:p>
        </w:tc>
        <w:tc>
          <w:tcPr>
            <w:tcW w:w="570" w:type="dxa"/>
            <w:tcBorders>
              <w:top w:val="nil"/>
              <w:left w:val="nil"/>
              <w:bottom w:val="single" w:color="auto" w:sz="2" w:space="0"/>
              <w:right w:val="single" w:color="auto" w:sz="2"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319</w:t>
            </w:r>
          </w:p>
        </w:tc>
        <w:tc>
          <w:tcPr>
            <w:tcW w:w="1253" w:type="dxa"/>
            <w:tcBorders>
              <w:top w:val="nil"/>
              <w:left w:val="nil"/>
              <w:bottom w:val="single" w:color="auto" w:sz="2" w:space="0"/>
              <w:right w:val="single" w:color="auto" w:sz="2"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39</w:t>
            </w:r>
          </w:p>
        </w:tc>
        <w:tc>
          <w:tcPr>
            <w:tcW w:w="1305" w:type="dxa"/>
            <w:tcBorders>
              <w:top w:val="nil"/>
              <w:left w:val="nil"/>
              <w:bottom w:val="single" w:color="auto" w:sz="2" w:space="0"/>
              <w:right w:val="single" w:color="auto" w:sz="2"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268" w:type="dxa"/>
            <w:tcBorders>
              <w:top w:val="nil"/>
              <w:left w:val="single" w:color="auto" w:sz="2" w:space="0"/>
              <w:bottom w:val="single" w:color="auto" w:sz="2" w:space="0"/>
              <w:right w:val="single" w:color="auto" w:sz="2"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025200 应用统计</w:t>
            </w:r>
          </w:p>
        </w:tc>
        <w:tc>
          <w:tcPr>
            <w:tcW w:w="570" w:type="dxa"/>
            <w:tcBorders>
              <w:top w:val="nil"/>
              <w:left w:val="nil"/>
              <w:bottom w:val="single" w:color="auto" w:sz="2" w:space="0"/>
              <w:right w:val="single" w:color="auto" w:sz="2"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360</w:t>
            </w:r>
          </w:p>
        </w:tc>
        <w:tc>
          <w:tcPr>
            <w:tcW w:w="1253" w:type="dxa"/>
            <w:tcBorders>
              <w:top w:val="nil"/>
              <w:left w:val="nil"/>
              <w:bottom w:val="single" w:color="auto" w:sz="2" w:space="0"/>
              <w:right w:val="single" w:color="auto" w:sz="2"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52</w:t>
            </w:r>
          </w:p>
        </w:tc>
        <w:tc>
          <w:tcPr>
            <w:tcW w:w="1305" w:type="dxa"/>
            <w:tcBorders>
              <w:top w:val="nil"/>
              <w:left w:val="nil"/>
              <w:bottom w:val="single" w:color="auto" w:sz="2" w:space="0"/>
              <w:right w:val="single" w:color="auto" w:sz="2"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å®‹ä½“" w:hAnsi="å®‹ä½“" w:eastAsia="å®‹ä½“" w:cs="å®‹ä½“"/>
                <w:spacing w:val="4"/>
                <w:sz w:val="24"/>
                <w:szCs w:val="24"/>
              </w:rPr>
            </w:pPr>
            <w:r>
              <w:rPr>
                <w:rFonts w:hint="eastAsia" w:ascii="宋体" w:hAnsi="宋体" w:eastAsia="宋体" w:cs="宋体"/>
                <w:i w:val="0"/>
                <w:iCs w:val="0"/>
                <w:caps w:val="0"/>
                <w:color w:val="333333"/>
                <w:spacing w:val="0"/>
                <w:sz w:val="24"/>
                <w:szCs w:val="24"/>
              </w:rPr>
              <w:t>78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2.考生需满足本人第一志愿所报考学科门类复试分数线,同时符合《湘潭大学2022年硕士研究生招生简章》的相关规定及要求，并且资格审查合格。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3.我院各专业不接收破格复试。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退役大学生士兵计划复试分数基本线：执行《2022年全国硕士研究生招生考试考生进入复试的初试成绩基本要求》B类地区对应的复试分数基本线。我院仅接受025200应用统计的调剂，名额分配为：025200应用统计1个，指标数以实际录取人数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5.享受少数民族照顾政策的（工作单位和户籍在国务院公布的民族区域自治地方，且定向就业原单位的少数民族在职人员）考生，执行《2022年全国硕士研究生招生考试考生进入复试的初试成绩基本要求》B类地区对应的复试分数基本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6.复试采取差额复试，差额比例一般不低于120%。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7.已取得推荐免试资格的推免生在推荐阶段已进行了复试，不再参加本次复试，也无需网上缴纳复试费用。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五、调剂复试办法及时间安排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1.接收调剂的学科与专业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我院025200应用统计专业可申请调剂，具体调剂指标根据一志愿复试情况待定。我院另有退役大学生士兵计划调剂指标1个。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2.调剂基本要求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（1）符合招生简章中规定的调入专业的报考条件，且为全日制本科。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考生初试成绩需达到第一志愿报考专业所在门类或领域规定的国家A类地区最低复试分数线要求。退役大学生士兵计划考生初试成绩需达到第一志愿报考专业所在门类或领域规定的国家B类地区最低复试分数线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（3）调入专业与第一志愿报考专业要相同或相近。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初试科目与调入专业初试科目相同或相近，其中全国统一命题科目应相同（考生初试全国统一命题科目涵盖调入专业所有全国统一命题科目的视为相同）。在全国统一命题科目中，初试英语（一）的，可以调入英语（二）的专业，反之不可调；数学（一）的，可以调入数学（二）或数学（三）的专业，数学（二）的，可以调入数学（三）的专业，反之不可调。经济类综合能力（科目代码396）等同数学（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3.调剂的基本程序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 学校通过“中国研究生招生信息网”发布调剂信息。考生在教育部规定的时间内登录“中国研究生招生信息网”调剂系统提交调剂申请。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对于同一批次申请我院同一专业，且初试科目完全相同的调剂考生（即考生一志愿为同一所高校，同一个学院、同一个专业，考试科目完全一致），在符合学院选拔条件的情况下，按考生初试成绩择优确定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对同一批次申请我院同一专业，但初试科目不完全相同的调剂考生，学院综合考生初试成绩、专业相关度等因素：优先考虑英语四、六级考试通过者、各类数学竞赛、数学建模竞赛等得省级以上奖励获得者，国家级奖、助学金获得者，确定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（4）我院根据调剂规则遴选符合条件的考生，并通过“中国研究生招生信息网”通知考生复试。考生需及时查看“复试通知”并确认。考生须于24小时内接收“复试通知”，否则将取消其复试资格。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（5）在“中国研究生招生信息网”调剂系统上收到复试通知的考生,请登录湘潭大学研究生报考服务系统（网址： https://yzbm.xtu.edu.cn/logon），招生项目为“硕士研究生复试录取”，用户名为准考证号（15位数），初始密码为有效居民身份证号码，居民身份证为18位数字（最后一位为X），进入“复试结果查询”，按缴费说明缴纳复试费。由于数据更新延迟原因，调剂考生请在收到复试通知12小时后登录系统缴费。自接收我校复试通知起36小时内未缴纳复试费用的，视为自动放弃我校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（6）调剂复试完成后, 学院上报拟录取结果至研究生院，研究生院汇总拟录取结果上报学校招生工作领导小组审定，审核通过后，研究生院通过调剂系统向学生发送拟录取通知。考生须在48小时内登录调剂系统接受拟录取通知，否则视为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（7）省级教育招生考试机构对拟录取考生进行终审，审核未通过者，将取消录取。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4.调剂复试安排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调剂考生与一志愿上线考生执行相同的复试程序，调剂生复试的具体时间待定。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六、复试安排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我院硕士研究生招生复试采取网络远程面试方式，招生简章中规定的复试笔试内容将通过面试进行考察，复试全程录音录像。请考生提前做好设备、网络准备并熟悉系统操作，注意事项请详见附件3。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我院硕士研究生一志愿复试时间为2022年4月2日（数学、统计专业）和2022年4月3日（应用统计），一志愿线复试录取完毕后，生源不足的再组织调剂复试。一志愿复试名单详见附件4。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2.缴纳复试费（120元/次）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所有考生需缴纳复试费并进行资格审查后方可参加复试。收到复试通知后请登录湘潭大学研究生报考服务系统（网址： https://yzbm.xtu.edu.cn/logon），招生项目为“硕士研究生复试录取”，用户名为准考证号（15位数），初始密码为有效居民身份证号码，居民身份证为18位数字（最后一位为X），登录系统后，进入“复试结果查询”，按缴费说明缴纳复试费。由于数据更新延迟原因，调剂考生请在收到复试通知12小时后登录系统缴费。复试费一经缴纳，概不退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 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所有参加复试的考生都必须进行资格审查，资格审查由各二级招生单位负责，资格审查具体要求见各学院的复试工作方案。考生在完成复试费缴纳后，登录湘潭大学研究生报考服务系统（网址：https://yzbm.xtu.edu.cn/logon），在“复试结果查询”中按要求提交下列材料（扫描件或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（1）本人有效身份证。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（2）毕业证书、学位证书（应届生为学生证、《教育部学籍在线验证报告》）。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（3）往届考生需提交教育部学信网出具的《教育部学历证书电子注册备案表》或《中国高等教育学历认证报告》。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持国外学历的考生，还需上传教育部留学服务中心出具的国外学历学位认证证书。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（4）未毕业自考生，还需提供考籍卡（证）、全国自学考试6科以上（含6科）成绩单。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5）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报考普通计划的考生，符合“退役大学生士兵”专项计划报考条件的，可申请调剂到该专项计划录取，其初试成绩须符合我校确定的接受 “退役大学生士兵”专项计划考生调剂的初试成绩要求。调入“退役大学生士兵”专项计划招录的考生，不再享受退役大学生士兵初试加分政策。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该类考生应提交本人的《男（女）性应征公民入伍批准书》和《退出现役证》。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报考“退役大学生士兵计划”的考生允许申请转为报考普通计划，在提交纸质申请书经学院审核同意后，可参加普通计划的复试和录取。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6）按规定享受少数民族照顾政策的考生，在网上报名时须如实填写少数民族身份，且申请定向就业少数民族地区。少数民族考生身份以报考时查验的身份证为准，复试时不得更改。资格审查时需提交户口簿、身份证、报名以来工作单位的工资流水证明、社保证明等的原件及其复印件，以及定向协议书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（7）本人手写签名《诚信复试承诺书》（附件1）。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（8）湘潭大学硕士研究生复试考生现实表现情况表（附件2，情况表需由本人所在单位的人事、政工部门加盖印章；无学习或工作单位人员可在其常住地街道办事处或村委会开具相关证明）。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 复试方式和内容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（1）专业笔试：主要为专业课考试，满分为100分，以口头作答的形式在面试中进行。复试科目按《数学与计算科学学院硕士生招生目录》，具体如下：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a. 070100数学考生复试专业科目：009002复变函数 或 009003常微分方程 或 009004数值分析 或 009005运筹学 或 009006概率论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由考生通过“湘潭大学研究生报考服务系统”在“复试结果查询”中自选以上1门科目进行复试。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b. 071400统计学考生复试专业科目：009007数理统计。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c. 025200应用统计专业学位考生复试专业科目：009001概率论与数理统计。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主要对考生的思想政治素质和品德、专业素质和能力、综合素质和能力进行考察，时间一般不少于20分钟，满分为100分。包括以下内容：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a. 思想政治素质和品德考核：主要是考核考生本人的现实表现，内容应包括考生的政治态度、思想表现、道德品质、遵纪守法、诚实守信等方面，对于思想品德考核不合格者不予录取。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b. 专业素质和能力：大学阶段学习情况及成绩；全面考核考生对本学科（专业）理论知识和应用技能掌握程度，利用所学理论发现、分析和解决问题的能力，对本学科发展动态的了解以及在本专业领域发展的潜力；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c. 综合素质和能力：本学科（专业）以外的学习、科研、社会实践（学生工作、社团活动、志愿服务等）或实际工作表现等方面的情况；事业心、责任感、纪律性（遵纪守法）、协作性和心理健康情况；人文素养；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（3）外语听力及口语测试：时间一般不少于5分钟，满分100分，以口语对话形式考察学生外语听说能力。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加试：同等学力报考的考生，在复试中须加试至少两门与报考专业相关的本科主干课程（加试科目不得与初试科目相同），满分为100分，加试方式为笔试。加试成绩不计入复试成绩总分，但任意一门不及格（低于60分）者将不予录取。加试具体科目见《湘潭大学2022年硕士研究生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七、录取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1.总成绩的计算方法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复试成绩和初试成绩按权重相加，得出总成绩。复试成绩为专业笔试（满分100分）、综合面试（满分100分）和外语听力及口语测试成绩（满分100分）加权之和。复试总成绩按以下公式计算：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初试成绩占70%、复试成绩占30%（其中专业笔试成绩占40%、综合面试成绩占40%、外语听力及口语测试成绩占20%）。具体计算公式为：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初试总成绩（换算成百分制）= 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复试成绩B = B1（专业笔试成绩）*0.4+ B2（综合面试成绩）*0.4+ B3（外语听力及口语测试成绩）*0.2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最后总成绩C = A*0.7 + B*0.3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在学院研究生招生工作领导小组的统一领导下，按照教育部有关招生录取政策规定及湖南省教育考试院的有关规定，根据学校的招生计划、复试录取办法以及考生的初试和复试成绩、思想政治表现和和身体健康状况等择优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（2）录取规则：学院对一志愿上线考生和调剂考生分别按总成绩排序，先录取一志愿报考我校的考生，剩余指标再在调剂生中按总成绩排名进行录取。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（3）有以下情形之一的考生不予录取：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a.复试不合格者（复试成绩B＜60分）；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b.同等学力考生加试成绩任意一门不合格者（60分以下）；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c.经查实，复试过程中有舞弊者；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d.思想政治素质或品德考核不合格者；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e.人事档案审查不合格者；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f.体检不合格者。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（4）我校将通过“中国研究生招生信息网”对所有拟录取考生（含一志愿）发送拟录取通知，所有考生必须在通知发送后的24小时内接收该通知，否则视为自动放弃录取资格。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（5）经考生确认的报考信息在录取阶段一律不做修改，对报考资格不符合规定者不予录取。未通过或未完成学历（学籍）认证的考生不予录取。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6）拟录取的考生在拟录取名单公布后1个星期内，将《湘潭大学硕士研究生复试考生现实表现情况表》（附件2）原件寄达我院，由我院对考生表现情况进行审核，未按时邮寄或审核不合格者将取消其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（7）被录取的新生，经考生本人申请，学院和学校同意后，可以在2022年5月30日前申请保留入学资格1-2年再入学。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（8）应届本科毕业生及自学考试和网络教育届时可毕业本科生考生，入学时未取得国家承认的本科毕业证书者，录取资格无效。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（9）入学后3个月内，我校将按照《普通高等学校学生管理规定》有关要求，对所有考生进行全面复查。复查不合格的，取消学籍。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3.录取类别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我院录取的硕士研究生均为全日制非定向就业考生，要求往届生须凭《调档函》于6月1日前将全部人事档案寄达我校。应届本科毕业生须凭《调档函》于8月31日前将人事档案寄达我校。拟录取为非定向就业的考生，不能按期调取人事档案的不予录取，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4.导师确定及新生学业奖学金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新生入学后与导师进行双向选择，确认指导教师。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学业奖学金及助学金的发放标准均按学校有关部门最新文件执行。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八、体检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我校复试阶段不统一组织体检。考生在确认拟录取后1个星期内，将个人有效体检报告（二甲医院以上，拟录取前三个月内均有效）邮寄至数学院研究生教务办公室，未按时提交体检报告或体检不合格者，将取消其录取资格。体检按照《普通高等学校招生体检工作指导意见》(教学(2003)3号)、《教育部办公厅卫生部办公厅关于普通高等学校招生学生入学身体检查取消乙肝项目检测有关问题的通知》( 教学厅(2010) 2号)等文件要求执行。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九、复试监督和复议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学院的复试工作由学院研究生招生工作领导小组全面指导和监督，复试过程的公平、公正和复试结果由学院研究生招生工作领导小组全面负责，学院主要负责人为直接责任人。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拟录取的硕士研究生名单由研究生院进行公示，公示时间不少于10个工作日。对招生录取过程中出现的异议，考生可向学院研究生招生工作小组申诉（电话：0731-58298571）；若仍有争议，可向学校研究生院（电话：0731-58292051）提出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十、其他注意事项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1. 考生未按规定时间参加我校复试视为自行放弃。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2. 对填报虚假信息、提交虚假材料、考试作弊及其他违反考试管理规定和考场纪律的考生，我校将按照《国家教育考试违纪处理办法》（教育部令第33号）进行严肃处理，并通知考生所在单位（学校）。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3. 请考生保持报名时所填联系电话的畅通，以免影响复试、录取等工作。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其它未尽事宜按《湘潭大学2022年硕士研究生复试录取工作方案》处理。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附件1：《湘潭大学2022年研究生招生考试诚信复试承诺书》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附件2：《湘潭大学硕士研究生复试考生现实表现情况表》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附件3：湘潭大学数学与计算科学学院2022年研究生招生复试考生须知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附件4：数学与计算科学学院数学、统计学和应用统计学复试名单（一志愿）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附件5：招生远程面试系统考生操作手册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sz w:val="24"/>
          <w:szCs w:val="32"/>
        </w:rPr>
      </w:pPr>
      <w:r>
        <w:rPr>
          <w:rFonts w:hint="eastAsia" w:ascii="宋体" w:hAnsi="宋体" w:eastAsia="宋体" w:cs="宋体"/>
          <w:sz w:val="24"/>
          <w:szCs w:val="32"/>
        </w:rPr>
        <w:t>                        湘潭大学数学与计算科学学院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sz w:val="24"/>
          <w:szCs w:val="32"/>
        </w:rPr>
      </w:pPr>
      <w:r>
        <w:rPr>
          <w:rFonts w:hint="eastAsia" w:ascii="宋体" w:hAnsi="宋体" w:eastAsia="宋体" w:cs="宋体"/>
          <w:sz w:val="24"/>
          <w:szCs w:val="32"/>
        </w:rPr>
        <w:t>2022年3月26日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A5B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20</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2022-05-28T01:32:08Z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