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napToGrid w:val="0"/>
        <w:jc w:val="center"/>
        <w:rPr>
          <w:rFonts w:ascii="宋体" w:hAnsi="宋体" w:eastAsia="宋体" w:cs="宋体"/>
          <w:b/>
          <w:sz w:val="32"/>
          <w:szCs w:val="28"/>
        </w:rPr>
      </w:pPr>
      <w:r>
        <w:rPr>
          <w:rFonts w:hint="eastAsia" w:ascii="宋体" w:hAnsi="宋体" w:eastAsia="宋体" w:cs="宋体"/>
          <w:b/>
          <w:sz w:val="32"/>
          <w:szCs w:val="28"/>
        </w:rPr>
        <w:t>湖南中医药大学</w:t>
      </w:r>
      <w:r>
        <w:rPr>
          <w:rFonts w:hint="eastAsia" w:ascii="宋体" w:hAnsi="宋体" w:eastAsia="宋体" w:cs="宋体"/>
          <w:b/>
          <w:sz w:val="32"/>
          <w:szCs w:val="28"/>
          <w:lang w:eastAsia="zh-CN"/>
        </w:rPr>
        <w:t>第一附属医院</w:t>
      </w:r>
      <w:r>
        <w:rPr>
          <w:rFonts w:hint="eastAsia" w:ascii="宋体" w:hAnsi="宋体" w:eastAsia="宋体" w:cs="宋体"/>
          <w:b/>
          <w:sz w:val="32"/>
          <w:szCs w:val="28"/>
        </w:rPr>
        <w:t>202</w:t>
      </w:r>
      <w:r>
        <w:rPr>
          <w:rFonts w:hint="eastAsia" w:ascii="宋体" w:hAnsi="宋体" w:eastAsia="宋体" w:cs="宋体"/>
          <w:b/>
          <w:sz w:val="32"/>
          <w:szCs w:val="28"/>
          <w:lang w:val="en-US" w:eastAsia="zh-CN"/>
        </w:rPr>
        <w:t>2</w:t>
      </w:r>
      <w:r>
        <w:rPr>
          <w:rFonts w:hint="eastAsia" w:ascii="宋体" w:hAnsi="宋体" w:eastAsia="宋体" w:cs="宋体"/>
          <w:b/>
          <w:sz w:val="32"/>
          <w:szCs w:val="28"/>
        </w:rPr>
        <w:t>年攻读硕士学位</w:t>
      </w:r>
    </w:p>
    <w:p>
      <w:pPr>
        <w:pStyle w:val="13"/>
        <w:snapToGrid w:val="0"/>
        <w:jc w:val="center"/>
        <w:rPr>
          <w:rFonts w:hint="eastAsia" w:ascii="宋体" w:hAnsi="宋体" w:eastAsia="宋体" w:cs="宋体"/>
          <w:b/>
          <w:sz w:val="32"/>
          <w:szCs w:val="28"/>
          <w:lang w:eastAsia="zh-CN"/>
        </w:rPr>
      </w:pPr>
      <w:r>
        <w:rPr>
          <w:rFonts w:hint="eastAsia" w:ascii="宋体" w:hAnsi="宋体" w:eastAsia="宋体" w:cs="宋体"/>
          <w:b/>
          <w:sz w:val="32"/>
          <w:szCs w:val="28"/>
        </w:rPr>
        <w:t>研究生复试调剂及录取工作</w:t>
      </w:r>
      <w:r>
        <w:rPr>
          <w:rFonts w:hint="eastAsia" w:ascii="宋体" w:hAnsi="宋体" w:eastAsia="宋体" w:cs="宋体"/>
          <w:b/>
          <w:sz w:val="32"/>
          <w:szCs w:val="28"/>
          <w:lang w:eastAsia="zh-CN"/>
        </w:rPr>
        <w:t>方案</w:t>
      </w:r>
    </w:p>
    <w:p>
      <w:pPr>
        <w:pStyle w:val="13"/>
        <w:snapToGrid w:val="0"/>
        <w:spacing w:line="312" w:lineRule="auto"/>
        <w:jc w:val="both"/>
        <w:rPr>
          <w:rFonts w:ascii="宋体" w:hAnsi="宋体" w:eastAsia="宋体" w:cs="宋体"/>
          <w:b/>
          <w:sz w:val="32"/>
          <w:szCs w:val="28"/>
        </w:rPr>
      </w:pPr>
    </w:p>
    <w:p>
      <w:pPr>
        <w:pStyle w:val="14"/>
        <w:snapToGrid w:val="0"/>
        <w:spacing w:line="312" w:lineRule="auto"/>
        <w:ind w:firstLine="480" w:firstLineChars="200"/>
        <w:rPr>
          <w:rFonts w:ascii="宋体" w:hAnsi="宋体" w:eastAsia="宋体" w:cs="宋体"/>
          <w:color w:val="000000"/>
        </w:rPr>
      </w:pPr>
      <w:r>
        <w:rPr>
          <w:rFonts w:hint="eastAsia" w:ascii="宋体" w:hAnsi="宋体" w:eastAsia="宋体" w:cs="宋体"/>
          <w:color w:val="000000"/>
        </w:rPr>
        <w:t>为进一步加强对我院202</w:t>
      </w:r>
      <w:r>
        <w:rPr>
          <w:rFonts w:hint="eastAsia" w:ascii="宋体" w:hAnsi="宋体" w:eastAsia="宋体" w:cs="宋体"/>
          <w:color w:val="000000"/>
          <w:lang w:val="en-US" w:eastAsia="zh-CN"/>
        </w:rPr>
        <w:t>2</w:t>
      </w:r>
      <w:r>
        <w:rPr>
          <w:rFonts w:hint="eastAsia" w:ascii="宋体" w:hAnsi="宋体" w:eastAsia="宋体" w:cs="宋体"/>
          <w:color w:val="000000"/>
        </w:rPr>
        <w:t>年硕士研究生复试、录取工作的管理，根据教育部相关文件精神，坚持“按需招生、全面衡量、择优录取和宁缺毋滥”的原则，切实严明招生纪律，确保硕士研究生复试调剂录取工作科学、规范、公平、公正、公开，特制定本工作</w:t>
      </w:r>
      <w:r>
        <w:rPr>
          <w:rFonts w:hint="eastAsia" w:ascii="宋体" w:hAnsi="宋体" w:eastAsia="宋体" w:cs="宋体"/>
          <w:color w:val="000000"/>
          <w:lang w:eastAsia="zh-CN"/>
        </w:rPr>
        <w:t>方案</w:t>
      </w:r>
      <w:r>
        <w:rPr>
          <w:rFonts w:hint="eastAsia" w:ascii="宋体" w:hAnsi="宋体" w:eastAsia="宋体" w:cs="宋体"/>
          <w:color w:val="000000"/>
        </w:rPr>
        <w:t>。</w:t>
      </w:r>
    </w:p>
    <w:p>
      <w:pPr>
        <w:pStyle w:val="15"/>
        <w:keepNext w:val="0"/>
        <w:keepLines w:val="0"/>
        <w:pageBreakBefore w:val="0"/>
        <w:widowControl w:val="0"/>
        <w:kinsoku/>
        <w:wordWrap/>
        <w:overflowPunct/>
        <w:topLinePunct w:val="0"/>
        <w:bidi w:val="0"/>
        <w:adjustRightInd w:val="0"/>
        <w:snapToGrid w:val="0"/>
        <w:spacing w:line="360" w:lineRule="auto"/>
        <w:ind w:right="0" w:rightChars="0"/>
        <w:textAlignment w:val="auto"/>
        <w:rPr>
          <w:rFonts w:hint="eastAsia" w:ascii="宋体" w:hAnsi="宋体" w:eastAsia="宋体" w:cs="宋体"/>
          <w:b/>
          <w:color w:val="000000"/>
        </w:rPr>
      </w:pPr>
      <w:r>
        <w:rPr>
          <w:rFonts w:hint="eastAsia" w:ascii="宋体" w:hAnsi="宋体" w:eastAsia="宋体" w:cs="宋体"/>
          <w:b/>
          <w:color w:val="000000"/>
        </w:rPr>
        <w:t>一、组织管理机构</w:t>
      </w:r>
    </w:p>
    <w:p>
      <w:pPr>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b/>
          <w:sz w:val="24"/>
          <w:szCs w:val="24"/>
        </w:rPr>
      </w:pPr>
      <w:r>
        <w:rPr>
          <w:rFonts w:hint="eastAsia" w:ascii="宋体" w:hAnsi="宋体" w:eastAsia="宋体" w:cs="宋体"/>
          <w:b/>
          <w:color w:val="000000"/>
          <w:sz w:val="24"/>
          <w:szCs w:val="24"/>
        </w:rPr>
        <w:t>（一）成立研究生招生</w:t>
      </w:r>
      <w:r>
        <w:rPr>
          <w:rFonts w:hint="eastAsia" w:ascii="宋体" w:hAnsi="宋体" w:eastAsia="宋体" w:cs="宋体"/>
          <w:b/>
          <w:color w:val="000000"/>
          <w:sz w:val="24"/>
          <w:szCs w:val="24"/>
          <w:lang w:eastAsia="zh-CN"/>
        </w:rPr>
        <w:t>复试</w:t>
      </w:r>
      <w:r>
        <w:rPr>
          <w:rFonts w:hint="eastAsia" w:ascii="宋体" w:hAnsi="宋体" w:eastAsia="宋体" w:cs="宋体"/>
          <w:b/>
          <w:color w:val="000000"/>
          <w:sz w:val="24"/>
          <w:szCs w:val="24"/>
        </w:rPr>
        <w:t>调剂工作领导小组，</w:t>
      </w:r>
      <w:r>
        <w:rPr>
          <w:rFonts w:hint="eastAsia" w:ascii="宋体" w:hAnsi="宋体" w:eastAsia="宋体" w:cs="宋体"/>
          <w:b/>
          <w:sz w:val="24"/>
          <w:szCs w:val="24"/>
        </w:rPr>
        <w:t>全面负责本单位的复试和拟录取工作。</w:t>
      </w:r>
    </w:p>
    <w:p>
      <w:pPr>
        <w:keepNext w:val="0"/>
        <w:keepLines w:val="0"/>
        <w:pageBreakBefore w:val="0"/>
        <w:widowControl w:val="0"/>
        <w:kinsoku/>
        <w:wordWrap/>
        <w:overflowPunct/>
        <w:topLinePunct w:val="0"/>
        <w:bidi w:val="0"/>
        <w:adjustRightInd w:val="0"/>
        <w:snapToGrid w:val="0"/>
        <w:spacing w:line="360" w:lineRule="auto"/>
        <w:ind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rPr>
        <w:t>组长由院长担任，副组长由主管研究生工作的副院长担任。组员由</w:t>
      </w:r>
      <w:r>
        <w:rPr>
          <w:rFonts w:hint="eastAsia" w:ascii="宋体" w:hAnsi="宋体" w:eastAsia="宋体" w:cs="宋体"/>
          <w:sz w:val="24"/>
          <w:szCs w:val="24"/>
          <w:lang w:eastAsia="zh-CN"/>
        </w:rPr>
        <w:t>教务与学生工作部部长</w:t>
      </w:r>
      <w:r>
        <w:rPr>
          <w:rFonts w:hint="eastAsia" w:ascii="宋体" w:hAnsi="宋体" w:eastAsia="宋体" w:cs="宋体"/>
          <w:sz w:val="24"/>
          <w:szCs w:val="24"/>
        </w:rPr>
        <w:t>和各专业学科带头人、教研室主任及导师代表组成，实行组长负责制。招生工作领导小组对本院复试工作与结果负责。</w:t>
      </w:r>
    </w:p>
    <w:p>
      <w:pPr>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b/>
          <w:color w:val="000000"/>
          <w:sz w:val="24"/>
          <w:szCs w:val="24"/>
        </w:rPr>
      </w:pPr>
      <w:r>
        <w:rPr>
          <w:rFonts w:hint="eastAsia" w:ascii="宋体" w:hAnsi="宋体" w:eastAsia="宋体" w:cs="宋体"/>
          <w:b/>
          <w:sz w:val="24"/>
          <w:szCs w:val="24"/>
        </w:rPr>
        <w:t>（二）</w:t>
      </w:r>
      <w:r>
        <w:rPr>
          <w:rFonts w:hint="eastAsia" w:ascii="宋体" w:hAnsi="宋体" w:eastAsia="宋体" w:cs="宋体"/>
          <w:b/>
          <w:color w:val="000000"/>
          <w:sz w:val="24"/>
          <w:szCs w:val="24"/>
        </w:rPr>
        <w:t>成立研究生招生</w:t>
      </w:r>
      <w:r>
        <w:rPr>
          <w:rFonts w:hint="eastAsia" w:ascii="宋体" w:hAnsi="宋体" w:eastAsia="宋体" w:cs="宋体"/>
          <w:b/>
          <w:color w:val="000000"/>
          <w:sz w:val="24"/>
          <w:szCs w:val="24"/>
          <w:lang w:eastAsia="zh-CN"/>
        </w:rPr>
        <w:t>复试</w:t>
      </w:r>
      <w:r>
        <w:rPr>
          <w:rFonts w:hint="eastAsia" w:ascii="宋体" w:hAnsi="宋体" w:eastAsia="宋体" w:cs="宋体"/>
          <w:b/>
          <w:color w:val="000000"/>
          <w:sz w:val="24"/>
          <w:szCs w:val="24"/>
        </w:rPr>
        <w:t>调剂</w:t>
      </w:r>
      <w:r>
        <w:rPr>
          <w:rFonts w:hint="eastAsia" w:ascii="宋体" w:hAnsi="宋体" w:eastAsia="宋体" w:cs="宋体"/>
          <w:b/>
          <w:color w:val="000000"/>
          <w:sz w:val="24"/>
          <w:szCs w:val="24"/>
          <w:lang w:eastAsia="zh-CN"/>
        </w:rPr>
        <w:t>工作</w:t>
      </w:r>
      <w:r>
        <w:rPr>
          <w:rFonts w:hint="eastAsia" w:ascii="宋体" w:hAnsi="宋体" w:eastAsia="宋体" w:cs="宋体"/>
          <w:b/>
          <w:sz w:val="24"/>
          <w:szCs w:val="24"/>
        </w:rPr>
        <w:t>监督小组，</w:t>
      </w:r>
      <w:r>
        <w:rPr>
          <w:rFonts w:hint="eastAsia" w:ascii="宋体" w:hAnsi="宋体" w:eastAsia="宋体" w:cs="宋体"/>
          <w:b/>
          <w:color w:val="000000"/>
          <w:sz w:val="24"/>
          <w:szCs w:val="24"/>
        </w:rPr>
        <w:t>负责学院复试过程各个环节的监督检查，并受理考生的举报、投诉事宜。</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组长由</w:t>
      </w:r>
      <w:r>
        <w:rPr>
          <w:rFonts w:hint="eastAsia" w:ascii="宋体" w:hAnsi="宋体" w:eastAsia="宋体" w:cs="宋体"/>
          <w:sz w:val="24"/>
          <w:szCs w:val="24"/>
          <w:lang w:eastAsia="zh-CN"/>
        </w:rPr>
        <w:t>纪委书记</w:t>
      </w:r>
      <w:r>
        <w:rPr>
          <w:rFonts w:hint="eastAsia" w:ascii="宋体" w:hAnsi="宋体" w:eastAsia="宋体" w:cs="宋体"/>
          <w:sz w:val="24"/>
          <w:szCs w:val="24"/>
        </w:rPr>
        <w:t>担任</w:t>
      </w:r>
      <w:r>
        <w:rPr>
          <w:rFonts w:hint="eastAsia" w:ascii="宋体" w:hAnsi="宋体" w:eastAsia="宋体" w:cs="宋体"/>
          <w:sz w:val="24"/>
          <w:szCs w:val="24"/>
          <w:lang w:eastAsia="zh-CN"/>
        </w:rPr>
        <w:t>，</w:t>
      </w:r>
      <w:r>
        <w:rPr>
          <w:rFonts w:hint="eastAsia" w:ascii="宋体" w:hAnsi="宋体" w:eastAsia="宋体" w:cs="宋体"/>
          <w:sz w:val="24"/>
          <w:szCs w:val="24"/>
        </w:rPr>
        <w:t>组员由</w:t>
      </w:r>
      <w:r>
        <w:rPr>
          <w:rFonts w:hint="eastAsia" w:ascii="宋体" w:hAnsi="宋体" w:eastAsia="宋体" w:cs="宋体"/>
          <w:sz w:val="24"/>
          <w:szCs w:val="24"/>
          <w:lang w:eastAsia="zh-CN"/>
        </w:rPr>
        <w:t>监察科科长及监察干事组成。</w:t>
      </w:r>
    </w:p>
    <w:p>
      <w:pPr>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（三）成立</w:t>
      </w:r>
      <w:r>
        <w:rPr>
          <w:rFonts w:hint="eastAsia" w:ascii="宋体" w:hAnsi="宋体" w:eastAsia="宋体" w:cs="宋体"/>
          <w:b/>
          <w:color w:val="000000"/>
          <w:sz w:val="24"/>
          <w:szCs w:val="24"/>
        </w:rPr>
        <w:t>研究生招生</w:t>
      </w:r>
      <w:r>
        <w:rPr>
          <w:rFonts w:hint="eastAsia" w:ascii="宋体" w:hAnsi="宋体" w:eastAsia="宋体" w:cs="宋体"/>
          <w:b/>
          <w:color w:val="000000"/>
          <w:sz w:val="24"/>
          <w:szCs w:val="24"/>
          <w:lang w:eastAsia="zh-CN"/>
        </w:rPr>
        <w:t>复试</w:t>
      </w:r>
      <w:r>
        <w:rPr>
          <w:rFonts w:hint="eastAsia" w:ascii="宋体" w:hAnsi="宋体" w:eastAsia="宋体" w:cs="宋体"/>
          <w:b/>
          <w:color w:val="000000"/>
          <w:sz w:val="24"/>
          <w:szCs w:val="24"/>
        </w:rPr>
        <w:t>调剂</w:t>
      </w:r>
      <w:r>
        <w:rPr>
          <w:rFonts w:hint="eastAsia" w:ascii="宋体" w:hAnsi="宋体" w:eastAsia="宋体" w:cs="宋体"/>
          <w:b/>
          <w:color w:val="000000"/>
          <w:sz w:val="24"/>
          <w:szCs w:val="24"/>
          <w:lang w:eastAsia="zh-CN"/>
        </w:rPr>
        <w:t>工作</w:t>
      </w:r>
      <w:r>
        <w:rPr>
          <w:rFonts w:hint="eastAsia" w:ascii="宋体" w:hAnsi="宋体" w:eastAsia="宋体" w:cs="宋体"/>
          <w:b/>
          <w:color w:val="auto"/>
          <w:sz w:val="24"/>
          <w:szCs w:val="24"/>
        </w:rPr>
        <w:t>保障组</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负责</w:t>
      </w:r>
      <w:r>
        <w:rPr>
          <w:rFonts w:hint="eastAsia" w:ascii="宋体" w:hAnsi="宋体" w:eastAsia="宋体" w:cs="宋体"/>
          <w:b/>
          <w:color w:val="000000"/>
          <w:sz w:val="24"/>
          <w:szCs w:val="24"/>
        </w:rPr>
        <w:t>调剂</w:t>
      </w:r>
      <w:r>
        <w:rPr>
          <w:rFonts w:hint="eastAsia" w:ascii="宋体" w:hAnsi="宋体" w:eastAsia="宋体" w:cs="宋体"/>
          <w:b/>
          <w:color w:val="auto"/>
          <w:sz w:val="24"/>
          <w:szCs w:val="24"/>
        </w:rPr>
        <w:t>复试前准备和复试过程中的联络、协调以及疫情防控等。</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组长由</w:t>
      </w:r>
      <w:r>
        <w:rPr>
          <w:rFonts w:hint="eastAsia" w:ascii="宋体" w:hAnsi="宋体" w:eastAsia="宋体" w:cs="宋体"/>
          <w:color w:val="auto"/>
          <w:sz w:val="24"/>
          <w:szCs w:val="24"/>
          <w:lang w:val="en-US" w:eastAsia="zh-CN"/>
        </w:rPr>
        <w:t>教务与学生工作部部长</w:t>
      </w:r>
      <w:r>
        <w:rPr>
          <w:rFonts w:hint="eastAsia" w:ascii="宋体" w:hAnsi="宋体" w:eastAsia="宋体" w:cs="宋体"/>
          <w:color w:val="auto"/>
          <w:sz w:val="24"/>
          <w:szCs w:val="24"/>
        </w:rPr>
        <w:t>担任，副组长由</w:t>
      </w:r>
      <w:r>
        <w:rPr>
          <w:rFonts w:hint="eastAsia" w:ascii="宋体" w:hAnsi="宋体" w:eastAsia="宋体" w:cs="宋体"/>
          <w:color w:val="auto"/>
          <w:sz w:val="24"/>
          <w:szCs w:val="24"/>
          <w:lang w:val="en-US" w:eastAsia="zh-CN"/>
        </w:rPr>
        <w:t>教务与学生工作部副部长</w:t>
      </w:r>
      <w:r>
        <w:rPr>
          <w:rFonts w:hint="eastAsia" w:ascii="宋体" w:hAnsi="宋体" w:eastAsia="宋体" w:cs="宋体"/>
          <w:color w:val="auto"/>
          <w:sz w:val="24"/>
          <w:szCs w:val="24"/>
        </w:rPr>
        <w:t>担任</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组员由</w:t>
      </w:r>
      <w:r>
        <w:rPr>
          <w:rFonts w:hint="eastAsia" w:ascii="宋体" w:hAnsi="宋体" w:eastAsia="宋体" w:cs="宋体"/>
          <w:color w:val="auto"/>
          <w:sz w:val="24"/>
          <w:szCs w:val="24"/>
          <w:lang w:val="en-US" w:eastAsia="zh-CN"/>
        </w:rPr>
        <w:t>教务与学生工作部科室成员及分研会成员</w:t>
      </w:r>
      <w:r>
        <w:rPr>
          <w:rFonts w:hint="eastAsia" w:ascii="宋体" w:hAnsi="宋体" w:eastAsia="宋体" w:cs="宋体"/>
          <w:color w:val="auto"/>
          <w:sz w:val="24"/>
          <w:szCs w:val="24"/>
          <w:lang w:eastAsia="zh-CN"/>
        </w:rPr>
        <w:t>组成。</w:t>
      </w:r>
      <w:r>
        <w:rPr>
          <w:rFonts w:hint="eastAsia" w:ascii="宋体" w:hAnsi="宋体" w:eastAsia="宋体" w:cs="宋体"/>
          <w:color w:val="auto"/>
          <w:sz w:val="24"/>
          <w:szCs w:val="24"/>
        </w:rPr>
        <w:t>负责本学院远程复试平台的技术运维，对复试软件平台的适用性、安全性、可靠性和稳定性等功能进行充分评估和演练，确保满足网络复试要求。</w:t>
      </w:r>
    </w:p>
    <w:p>
      <w:pPr>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w:t>
      </w:r>
      <w:r>
        <w:rPr>
          <w:rFonts w:hint="eastAsia" w:ascii="宋体" w:hAnsi="宋体" w:eastAsia="宋体" w:cs="宋体"/>
          <w:b/>
          <w:color w:val="000000"/>
          <w:sz w:val="24"/>
          <w:szCs w:val="24"/>
          <w:lang w:val="en-US" w:eastAsia="zh-CN"/>
        </w:rPr>
        <w:t>四</w:t>
      </w:r>
      <w:r>
        <w:rPr>
          <w:rFonts w:hint="eastAsia" w:ascii="宋体" w:hAnsi="宋体" w:eastAsia="宋体" w:cs="宋体"/>
          <w:b/>
          <w:color w:val="000000"/>
          <w:sz w:val="24"/>
          <w:szCs w:val="24"/>
        </w:rPr>
        <w:t>）成立研究生招生</w:t>
      </w:r>
      <w:r>
        <w:rPr>
          <w:rFonts w:hint="eastAsia" w:ascii="宋体" w:hAnsi="宋体" w:eastAsia="宋体" w:cs="宋体"/>
          <w:b/>
          <w:color w:val="000000"/>
          <w:sz w:val="24"/>
          <w:szCs w:val="24"/>
          <w:lang w:eastAsia="zh-CN"/>
        </w:rPr>
        <w:t>复试</w:t>
      </w:r>
      <w:r>
        <w:rPr>
          <w:rFonts w:hint="eastAsia" w:ascii="宋体" w:hAnsi="宋体" w:eastAsia="宋体" w:cs="宋体"/>
          <w:b/>
          <w:color w:val="000000"/>
          <w:sz w:val="24"/>
          <w:szCs w:val="24"/>
        </w:rPr>
        <w:t>调剂工作专业复试小组：</w:t>
      </w:r>
    </w:p>
    <w:p>
      <w:pPr>
        <w:adjustRightInd w:val="0"/>
        <w:snapToGrid w:val="0"/>
        <w:spacing w:line="312" w:lineRule="auto"/>
        <w:ind w:firstLine="480" w:firstLineChars="200"/>
      </w:pPr>
      <w:r>
        <w:rPr>
          <w:rFonts w:hint="eastAsia" w:ascii="宋体" w:hAnsi="宋体" w:eastAsia="宋体" w:cs="宋体"/>
          <w:color w:val="000000"/>
          <w:sz w:val="24"/>
          <w:szCs w:val="24"/>
        </w:rPr>
        <w:t>以二级学科专业为单位，包括中医骨伤科学</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中医五官科学（</w:t>
      </w:r>
      <w:r>
        <w:rPr>
          <w:rFonts w:hint="eastAsia" w:ascii="宋体" w:hAnsi="宋体" w:eastAsia="宋体" w:cs="宋体"/>
          <w:color w:val="000000"/>
          <w:sz w:val="24"/>
          <w:szCs w:val="24"/>
          <w:lang w:eastAsia="zh-CN"/>
        </w:rPr>
        <w:t>眼科</w:t>
      </w:r>
      <w:r>
        <w:rPr>
          <w:rFonts w:hint="eastAsia" w:ascii="宋体" w:hAnsi="宋体" w:eastAsia="宋体" w:cs="宋体"/>
          <w:color w:val="000000"/>
          <w:sz w:val="24"/>
          <w:szCs w:val="24"/>
        </w:rPr>
        <w:t>、耳鼻喉）、中西医结合临床</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影像医学与核医学</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中药学专业</w:t>
      </w:r>
      <w:r>
        <w:rPr>
          <w:rFonts w:hint="eastAsia" w:ascii="宋体" w:hAnsi="宋体" w:eastAsia="宋体" w:cs="宋体"/>
          <w:sz w:val="24"/>
          <w:szCs w:val="24"/>
        </w:rPr>
        <w:t>复试小组</w:t>
      </w:r>
      <w:r>
        <w:rPr>
          <w:rFonts w:hint="eastAsia" w:ascii="宋体" w:hAnsi="宋体" w:eastAsia="宋体" w:cs="宋体"/>
          <w:bCs/>
          <w:color w:val="000000" w:themeColor="text1"/>
          <w:sz w:val="24"/>
          <w:szCs w:val="24"/>
          <w14:textFill>
            <w14:solidFill>
              <w14:schemeClr w14:val="tx1"/>
            </w14:solidFill>
          </w14:textFill>
        </w:rPr>
        <w:t>。</w:t>
      </w:r>
    </w:p>
    <w:p>
      <w:pPr>
        <w:pStyle w:val="2"/>
        <w:numPr>
          <w:ilvl w:val="0"/>
          <w:numId w:val="1"/>
        </w:numPr>
        <w:jc w:val="left"/>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分专业计划及调剂要求</w:t>
      </w:r>
    </w:p>
    <w:p/>
    <w:tbl>
      <w:tblPr>
        <w:tblStyle w:val="7"/>
        <w:tblW w:w="10180" w:type="dxa"/>
        <w:jc w:val="center"/>
        <w:tblLayout w:type="fixed"/>
        <w:tblCellMar>
          <w:top w:w="0" w:type="dxa"/>
          <w:left w:w="0" w:type="dxa"/>
          <w:bottom w:w="0" w:type="dxa"/>
          <w:right w:w="0" w:type="dxa"/>
        </w:tblCellMar>
      </w:tblPr>
      <w:tblGrid>
        <w:gridCol w:w="772"/>
        <w:gridCol w:w="772"/>
        <w:gridCol w:w="1307"/>
        <w:gridCol w:w="1132"/>
        <w:gridCol w:w="2413"/>
        <w:gridCol w:w="3784"/>
      </w:tblGrid>
      <w:tr>
        <w:tblPrEx>
          <w:tblCellMar>
            <w:top w:w="0" w:type="dxa"/>
            <w:left w:w="0" w:type="dxa"/>
            <w:bottom w:w="0" w:type="dxa"/>
            <w:right w:w="0" w:type="dxa"/>
          </w:tblCellMar>
        </w:tblPrEx>
        <w:trPr>
          <w:trHeight w:val="687" w:hRule="atLeast"/>
          <w:tblHeader/>
          <w:jc w:val="center"/>
        </w:trPr>
        <w:tc>
          <w:tcPr>
            <w:tcW w:w="7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ind w:left="113" w:right="113"/>
              <w:jc w:val="center"/>
              <w:textAlignment w:val="center"/>
              <w:rPr>
                <w:rFonts w:hint="eastAsia" w:ascii="宋体" w:hAnsi="宋体" w:eastAsia="宋体" w:cs="宋体"/>
                <w:b/>
                <w:bCs/>
                <w:kern w:val="0"/>
                <w:sz w:val="20"/>
                <w:szCs w:val="20"/>
                <w:lang w:eastAsia="zh-CN"/>
              </w:rPr>
            </w:pPr>
            <w:r>
              <w:rPr>
                <w:rFonts w:hint="eastAsia" w:ascii="宋体" w:hAnsi="宋体" w:eastAsia="宋体" w:cs="宋体"/>
                <w:b/>
                <w:bCs/>
                <w:kern w:val="0"/>
                <w:sz w:val="20"/>
                <w:szCs w:val="20"/>
                <w:lang w:val="en-US" w:eastAsia="zh-CN"/>
              </w:rPr>
              <w:t>学院名称</w:t>
            </w:r>
          </w:p>
        </w:tc>
        <w:tc>
          <w:tcPr>
            <w:tcW w:w="772" w:type="dxa"/>
            <w:tcBorders>
              <w:top w:val="single" w:color="000000"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widowControl/>
              <w:ind w:left="113" w:right="113"/>
              <w:jc w:val="center"/>
              <w:textAlignment w:val="center"/>
              <w:rPr>
                <w:rFonts w:hint="eastAsia" w:ascii="宋体" w:hAnsi="宋体" w:eastAsia="宋体" w:cs="宋体"/>
                <w:b/>
                <w:bCs/>
                <w:kern w:val="0"/>
                <w:sz w:val="20"/>
                <w:szCs w:val="20"/>
                <w:lang w:eastAsia="zh-CN"/>
              </w:rPr>
            </w:pPr>
            <w:r>
              <w:rPr>
                <w:rFonts w:hint="eastAsia" w:ascii="宋体" w:hAnsi="宋体" w:eastAsia="宋体" w:cs="宋体"/>
                <w:b/>
                <w:bCs/>
                <w:kern w:val="0"/>
                <w:sz w:val="20"/>
                <w:szCs w:val="20"/>
                <w:lang w:val="en-US" w:eastAsia="zh-CN"/>
              </w:rPr>
              <w:t>缺额</w:t>
            </w:r>
          </w:p>
        </w:tc>
        <w:tc>
          <w:tcPr>
            <w:tcW w:w="1307" w:type="dxa"/>
            <w:tcBorders>
              <w:top w:val="single" w:color="000000"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widowControl/>
              <w:ind w:left="113" w:right="113"/>
              <w:jc w:val="center"/>
              <w:textAlignment w:val="center"/>
              <w:rPr>
                <w:rFonts w:hint="eastAsia" w:ascii="宋体" w:hAnsi="宋体" w:eastAsia="宋体" w:cs="宋体"/>
                <w:b/>
                <w:bCs/>
                <w:kern w:val="0"/>
                <w:sz w:val="20"/>
                <w:szCs w:val="20"/>
                <w:lang w:eastAsia="zh-CN"/>
              </w:rPr>
            </w:pPr>
            <w:r>
              <w:rPr>
                <w:rFonts w:hint="eastAsia" w:ascii="宋体" w:hAnsi="宋体" w:eastAsia="宋体" w:cs="宋体"/>
                <w:b/>
                <w:bCs/>
                <w:kern w:val="0"/>
                <w:sz w:val="20"/>
                <w:szCs w:val="20"/>
                <w:lang w:val="en-US" w:eastAsia="zh-CN"/>
              </w:rPr>
              <w:t>专业类型</w:t>
            </w:r>
          </w:p>
        </w:tc>
        <w:tc>
          <w:tcPr>
            <w:tcW w:w="1132" w:type="dxa"/>
            <w:tcBorders>
              <w:top w:val="single" w:color="000000"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widowControl/>
              <w:ind w:left="113" w:right="113"/>
              <w:jc w:val="center"/>
              <w:textAlignment w:val="center"/>
              <w:rPr>
                <w:rFonts w:hint="eastAsia" w:ascii="宋体" w:hAnsi="宋体" w:eastAsia="宋体" w:cs="宋体"/>
                <w:b/>
                <w:bCs/>
                <w:kern w:val="0"/>
                <w:sz w:val="20"/>
                <w:szCs w:val="20"/>
                <w:lang w:eastAsia="zh-CN"/>
              </w:rPr>
            </w:pPr>
            <w:r>
              <w:rPr>
                <w:rFonts w:hint="eastAsia" w:ascii="宋体" w:hAnsi="宋体" w:eastAsia="宋体" w:cs="宋体"/>
                <w:b/>
                <w:bCs/>
                <w:kern w:val="0"/>
                <w:sz w:val="20"/>
                <w:szCs w:val="20"/>
                <w:lang w:val="en-US" w:eastAsia="zh-CN"/>
              </w:rPr>
              <w:t>专业代码</w:t>
            </w:r>
          </w:p>
        </w:tc>
        <w:tc>
          <w:tcPr>
            <w:tcW w:w="2413"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widowControl/>
              <w:ind w:left="113" w:right="113"/>
              <w:jc w:val="center"/>
              <w:textAlignment w:val="center"/>
              <w:rPr>
                <w:rFonts w:hint="eastAsia" w:ascii="宋体" w:hAnsi="宋体" w:eastAsia="宋体" w:cs="宋体"/>
                <w:b/>
                <w:bCs/>
                <w:kern w:val="0"/>
                <w:sz w:val="20"/>
                <w:szCs w:val="20"/>
                <w:lang w:eastAsia="zh-CN"/>
              </w:rPr>
            </w:pPr>
            <w:r>
              <w:rPr>
                <w:rFonts w:hint="eastAsia" w:ascii="宋体" w:hAnsi="宋体" w:eastAsia="宋体" w:cs="宋体"/>
                <w:b/>
                <w:bCs/>
                <w:kern w:val="0"/>
                <w:sz w:val="20"/>
                <w:szCs w:val="20"/>
                <w:lang w:val="en-US" w:eastAsia="zh-CN"/>
              </w:rPr>
              <w:t>专业名称</w:t>
            </w:r>
          </w:p>
        </w:tc>
        <w:tc>
          <w:tcPr>
            <w:tcW w:w="3784"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widowControl/>
              <w:ind w:left="113" w:right="113"/>
              <w:jc w:val="center"/>
              <w:textAlignment w:val="center"/>
              <w:rPr>
                <w:rFonts w:hint="eastAsia" w:ascii="宋体" w:hAnsi="宋体" w:eastAsia="宋体" w:cs="宋体"/>
                <w:b/>
                <w:bCs/>
                <w:kern w:val="0"/>
                <w:sz w:val="20"/>
                <w:szCs w:val="20"/>
                <w:lang w:eastAsia="zh-CN"/>
              </w:rPr>
            </w:pPr>
            <w:r>
              <w:rPr>
                <w:rFonts w:hint="eastAsia" w:ascii="宋体" w:hAnsi="宋体" w:eastAsia="宋体" w:cs="宋体"/>
                <w:b/>
                <w:bCs/>
                <w:kern w:val="0"/>
                <w:sz w:val="20"/>
                <w:szCs w:val="20"/>
                <w:lang w:val="en-US" w:eastAsia="zh-CN"/>
              </w:rPr>
              <w:t>调剂要求</w:t>
            </w:r>
          </w:p>
        </w:tc>
      </w:tr>
      <w:tr>
        <w:tblPrEx>
          <w:tblCellMar>
            <w:top w:w="0" w:type="dxa"/>
            <w:left w:w="0" w:type="dxa"/>
            <w:bottom w:w="0" w:type="dxa"/>
            <w:right w:w="0" w:type="dxa"/>
          </w:tblCellMar>
        </w:tblPrEx>
        <w:trPr>
          <w:trHeight w:val="454" w:hRule="atLeast"/>
          <w:tblHeader/>
          <w:jc w:val="center"/>
        </w:trPr>
        <w:tc>
          <w:tcPr>
            <w:tcW w:w="772" w:type="dxa"/>
            <w:vMerge w:val="restart"/>
            <w:tcBorders>
              <w:top w:val="single" w:color="000000" w:sz="4" w:space="0"/>
              <w:left w:val="single" w:color="000000" w:sz="4" w:space="0"/>
              <w:right w:val="single" w:color="auto" w:sz="4" w:space="0"/>
            </w:tcBorders>
            <w:shd w:val="clear" w:color="auto" w:fill="FFFFFF" w:themeFill="background1"/>
            <w:tcMar>
              <w:top w:w="15" w:type="dxa"/>
              <w:left w:w="15" w:type="dxa"/>
              <w:right w:w="15" w:type="dxa"/>
            </w:tcMar>
            <w:vAlign w:val="center"/>
          </w:tcPr>
          <w:p>
            <w:pPr>
              <w:widowControl/>
              <w:ind w:left="113" w:right="113"/>
              <w:jc w:val="center"/>
              <w:textAlignment w:val="center"/>
              <w:rPr>
                <w:rFonts w:hint="eastAsia" w:ascii="宋体" w:hAnsi="宋体" w:eastAsia="宋体" w:cs="宋体"/>
                <w:b/>
                <w:bCs/>
                <w:sz w:val="20"/>
                <w:szCs w:val="20"/>
                <w:lang w:eastAsia="zh-CN"/>
              </w:rPr>
            </w:pPr>
            <w:r>
              <w:rPr>
                <w:rFonts w:hint="eastAsia" w:ascii="宋体" w:hAnsi="宋体" w:eastAsia="宋体" w:cs="宋体"/>
                <w:b/>
                <w:bCs/>
                <w:kern w:val="0"/>
                <w:sz w:val="20"/>
                <w:szCs w:val="20"/>
                <w:lang w:eastAsia="zh-CN"/>
              </w:rPr>
              <w:t>第一附属医院</w:t>
            </w:r>
          </w:p>
        </w:tc>
        <w:tc>
          <w:tcPr>
            <w:tcW w:w="772"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1</w:t>
            </w:r>
          </w:p>
        </w:tc>
        <w:tc>
          <w:tcPr>
            <w:tcW w:w="13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eastAsia="宋体" w:cs="宋体"/>
                <w:b/>
                <w:bCs/>
                <w:kern w:val="0"/>
                <w:sz w:val="20"/>
                <w:szCs w:val="20"/>
                <w:lang w:eastAsia="zh-CN"/>
              </w:rPr>
            </w:pPr>
            <w:r>
              <w:rPr>
                <w:rFonts w:hint="eastAsia" w:ascii="宋体" w:hAnsi="宋体" w:eastAsia="宋体" w:cs="宋体"/>
                <w:b/>
                <w:bCs/>
                <w:kern w:val="0"/>
                <w:sz w:val="20"/>
                <w:szCs w:val="20"/>
                <w:lang w:eastAsia="zh-CN"/>
              </w:rPr>
              <w:t>学术学位</w:t>
            </w:r>
          </w:p>
        </w:tc>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100207</w:t>
            </w:r>
          </w:p>
        </w:tc>
        <w:tc>
          <w:tcPr>
            <w:tcW w:w="24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hint="eastAsia" w:ascii="宋体" w:hAnsi="宋体" w:eastAsia="宋体" w:cs="宋体"/>
                <w:b w:val="0"/>
                <w:bCs w:val="0"/>
                <w:sz w:val="20"/>
                <w:szCs w:val="20"/>
              </w:rPr>
            </w:pPr>
            <w:r>
              <w:rPr>
                <w:rFonts w:hint="eastAsia" w:ascii="宋体" w:hAnsi="宋体" w:eastAsia="宋体" w:cs="宋体"/>
                <w:b/>
                <w:bCs/>
                <w:sz w:val="20"/>
                <w:szCs w:val="20"/>
              </w:rPr>
              <w:t>影像医学与核医学</w:t>
            </w:r>
          </w:p>
        </w:tc>
        <w:tc>
          <w:tcPr>
            <w:tcW w:w="37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hint="eastAsia" w:ascii="宋体" w:hAnsi="宋体" w:eastAsia="宋体" w:cs="宋体"/>
                <w:b/>
                <w:bCs/>
                <w:sz w:val="20"/>
                <w:szCs w:val="20"/>
              </w:rPr>
            </w:pPr>
            <w:r>
              <w:rPr>
                <w:rFonts w:hint="eastAsia"/>
                <w:sz w:val="20"/>
                <w:szCs w:val="20"/>
              </w:rPr>
              <w:t>总分不低于 315</w:t>
            </w:r>
            <w:r>
              <w:rPr>
                <w:rFonts w:hint="eastAsia"/>
                <w:sz w:val="20"/>
                <w:szCs w:val="20"/>
                <w:lang w:eastAsia="zh-CN"/>
              </w:rPr>
              <w:t>，</w:t>
            </w:r>
            <w:r>
              <w:rPr>
                <w:rFonts w:hint="eastAsia"/>
                <w:sz w:val="20"/>
                <w:szCs w:val="20"/>
              </w:rPr>
              <w:t>英语不低于 41</w:t>
            </w:r>
          </w:p>
        </w:tc>
      </w:tr>
      <w:tr>
        <w:tblPrEx>
          <w:tblCellMar>
            <w:top w:w="0" w:type="dxa"/>
            <w:left w:w="0" w:type="dxa"/>
            <w:bottom w:w="0" w:type="dxa"/>
            <w:right w:w="0" w:type="dxa"/>
          </w:tblCellMar>
        </w:tblPrEx>
        <w:trPr>
          <w:trHeight w:val="454" w:hRule="atLeast"/>
          <w:tblHeader/>
          <w:jc w:val="center"/>
        </w:trPr>
        <w:tc>
          <w:tcPr>
            <w:tcW w:w="772" w:type="dxa"/>
            <w:vMerge w:val="continue"/>
            <w:tcBorders>
              <w:left w:val="single" w:color="000000"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eastAsia="宋体" w:cs="宋体"/>
                <w:b/>
                <w:bCs/>
                <w:kern w:val="0"/>
                <w:sz w:val="20"/>
                <w:szCs w:val="20"/>
              </w:rPr>
            </w:pPr>
          </w:p>
        </w:tc>
        <w:tc>
          <w:tcPr>
            <w:tcW w:w="772"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4</w:t>
            </w:r>
          </w:p>
        </w:tc>
        <w:tc>
          <w:tcPr>
            <w:tcW w:w="13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eastAsia="宋体" w:cs="宋体"/>
                <w:b/>
                <w:bCs/>
                <w:kern w:val="0"/>
                <w:sz w:val="20"/>
                <w:szCs w:val="20"/>
                <w:lang w:eastAsia="zh-CN"/>
              </w:rPr>
            </w:pPr>
            <w:r>
              <w:rPr>
                <w:rFonts w:hint="eastAsia" w:ascii="宋体" w:hAnsi="宋体" w:eastAsia="宋体" w:cs="宋体"/>
                <w:b/>
                <w:bCs/>
                <w:kern w:val="0"/>
                <w:sz w:val="20"/>
                <w:szCs w:val="20"/>
                <w:lang w:eastAsia="zh-CN"/>
              </w:rPr>
              <w:t>学术学位</w:t>
            </w:r>
          </w:p>
        </w:tc>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100800</w:t>
            </w:r>
          </w:p>
        </w:tc>
        <w:tc>
          <w:tcPr>
            <w:tcW w:w="24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hint="eastAsia" w:ascii="宋体" w:hAnsi="宋体" w:eastAsia="宋体" w:cs="宋体"/>
                <w:b/>
                <w:bCs/>
                <w:sz w:val="20"/>
                <w:szCs w:val="20"/>
              </w:rPr>
            </w:pPr>
            <w:r>
              <w:rPr>
                <w:rFonts w:hint="eastAsia" w:ascii="宋体" w:hAnsi="宋体" w:eastAsia="宋体" w:cs="宋体"/>
                <w:b/>
                <w:bCs/>
                <w:sz w:val="20"/>
                <w:szCs w:val="20"/>
              </w:rPr>
              <w:t>中药学</w:t>
            </w:r>
          </w:p>
        </w:tc>
        <w:tc>
          <w:tcPr>
            <w:tcW w:w="37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hint="eastAsia" w:ascii="宋体" w:hAnsi="宋体" w:eastAsia="宋体" w:cs="宋体"/>
                <w:b/>
                <w:bCs/>
                <w:sz w:val="20"/>
                <w:szCs w:val="20"/>
              </w:rPr>
            </w:pPr>
            <w:r>
              <w:rPr>
                <w:rFonts w:hint="eastAsia"/>
                <w:sz w:val="20"/>
                <w:szCs w:val="20"/>
              </w:rPr>
              <w:t>总分不低于 315</w:t>
            </w:r>
            <w:r>
              <w:rPr>
                <w:rFonts w:hint="eastAsia"/>
                <w:sz w:val="20"/>
                <w:szCs w:val="20"/>
                <w:lang w:eastAsia="zh-CN"/>
              </w:rPr>
              <w:t>，</w:t>
            </w:r>
            <w:r>
              <w:rPr>
                <w:rFonts w:hint="eastAsia"/>
                <w:sz w:val="20"/>
                <w:szCs w:val="20"/>
              </w:rPr>
              <w:t>英语不低于 41</w:t>
            </w:r>
          </w:p>
        </w:tc>
      </w:tr>
      <w:tr>
        <w:tblPrEx>
          <w:tblCellMar>
            <w:top w:w="0" w:type="dxa"/>
            <w:left w:w="0" w:type="dxa"/>
            <w:bottom w:w="0" w:type="dxa"/>
            <w:right w:w="0" w:type="dxa"/>
          </w:tblCellMar>
        </w:tblPrEx>
        <w:trPr>
          <w:trHeight w:val="454" w:hRule="atLeast"/>
          <w:tblHeader/>
          <w:jc w:val="center"/>
        </w:trPr>
        <w:tc>
          <w:tcPr>
            <w:tcW w:w="772" w:type="dxa"/>
            <w:vMerge w:val="continue"/>
            <w:tcBorders>
              <w:left w:val="single" w:color="000000"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eastAsia="宋体" w:cs="宋体"/>
                <w:b/>
                <w:bCs/>
                <w:kern w:val="0"/>
                <w:sz w:val="20"/>
                <w:szCs w:val="20"/>
              </w:rPr>
            </w:pPr>
          </w:p>
        </w:tc>
        <w:tc>
          <w:tcPr>
            <w:tcW w:w="772"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3</w:t>
            </w:r>
          </w:p>
        </w:tc>
        <w:tc>
          <w:tcPr>
            <w:tcW w:w="13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eastAsia="宋体" w:cs="宋体"/>
                <w:b/>
                <w:bCs/>
                <w:kern w:val="0"/>
                <w:sz w:val="20"/>
                <w:szCs w:val="20"/>
                <w:lang w:eastAsia="zh-CN"/>
              </w:rPr>
            </w:pPr>
            <w:r>
              <w:rPr>
                <w:rFonts w:hint="eastAsia" w:ascii="宋体" w:hAnsi="宋体" w:eastAsia="宋体" w:cs="宋体"/>
                <w:b/>
                <w:bCs/>
                <w:kern w:val="0"/>
                <w:sz w:val="20"/>
                <w:szCs w:val="20"/>
                <w:lang w:eastAsia="zh-CN"/>
              </w:rPr>
              <w:t>专业学位</w:t>
            </w:r>
          </w:p>
        </w:tc>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105703</w:t>
            </w:r>
          </w:p>
        </w:tc>
        <w:tc>
          <w:tcPr>
            <w:tcW w:w="24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hint="eastAsia" w:ascii="宋体" w:hAnsi="宋体" w:eastAsia="宋体" w:cs="宋体"/>
                <w:b/>
                <w:bCs/>
                <w:sz w:val="20"/>
                <w:szCs w:val="20"/>
              </w:rPr>
            </w:pPr>
            <w:r>
              <w:rPr>
                <w:rFonts w:hint="eastAsia" w:ascii="宋体" w:hAnsi="宋体" w:eastAsia="宋体" w:cs="宋体"/>
                <w:b/>
                <w:bCs/>
                <w:sz w:val="20"/>
                <w:szCs w:val="20"/>
              </w:rPr>
              <w:t>中医骨伤科学</w:t>
            </w:r>
          </w:p>
        </w:tc>
        <w:tc>
          <w:tcPr>
            <w:tcW w:w="37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hint="eastAsia" w:ascii="宋体" w:hAnsi="宋体" w:eastAsia="宋体" w:cs="宋体"/>
                <w:b/>
                <w:bCs/>
                <w:sz w:val="20"/>
                <w:szCs w:val="20"/>
              </w:rPr>
            </w:pPr>
            <w:r>
              <w:rPr>
                <w:rFonts w:hint="eastAsia"/>
                <w:sz w:val="20"/>
                <w:szCs w:val="20"/>
              </w:rPr>
              <w:t>总分不低于 315</w:t>
            </w:r>
            <w:r>
              <w:rPr>
                <w:rFonts w:hint="eastAsia"/>
                <w:sz w:val="20"/>
                <w:szCs w:val="20"/>
                <w:lang w:eastAsia="zh-CN"/>
              </w:rPr>
              <w:t>，</w:t>
            </w:r>
            <w:r>
              <w:rPr>
                <w:rFonts w:hint="eastAsia"/>
                <w:sz w:val="20"/>
                <w:szCs w:val="20"/>
              </w:rPr>
              <w:t>英语不低于 41</w:t>
            </w:r>
          </w:p>
        </w:tc>
      </w:tr>
      <w:tr>
        <w:tblPrEx>
          <w:tblCellMar>
            <w:top w:w="0" w:type="dxa"/>
            <w:left w:w="0" w:type="dxa"/>
            <w:bottom w:w="0" w:type="dxa"/>
            <w:right w:w="0" w:type="dxa"/>
          </w:tblCellMar>
        </w:tblPrEx>
        <w:trPr>
          <w:trHeight w:val="454" w:hRule="atLeast"/>
          <w:jc w:val="center"/>
        </w:trPr>
        <w:tc>
          <w:tcPr>
            <w:tcW w:w="772" w:type="dxa"/>
            <w:vMerge w:val="continue"/>
            <w:tcBorders>
              <w:left w:val="single" w:color="000000" w:sz="4" w:space="0"/>
              <w:right w:val="single" w:color="auto" w:sz="4" w:space="0"/>
            </w:tcBorders>
            <w:shd w:val="clear" w:color="auto" w:fill="FFFFFF" w:themeFill="background1"/>
            <w:tcMar>
              <w:top w:w="15" w:type="dxa"/>
              <w:left w:w="15" w:type="dxa"/>
              <w:right w:w="15" w:type="dxa"/>
            </w:tcMar>
            <w:textDirection w:val="tbLrV"/>
            <w:vAlign w:val="center"/>
          </w:tcPr>
          <w:p>
            <w:pPr>
              <w:widowControl/>
              <w:ind w:left="113" w:right="113"/>
              <w:jc w:val="center"/>
              <w:textAlignment w:val="center"/>
              <w:rPr>
                <w:rFonts w:ascii="宋体" w:hAnsi="宋体" w:eastAsia="宋体" w:cs="宋体"/>
                <w:b/>
                <w:bCs/>
                <w:sz w:val="20"/>
                <w:szCs w:val="20"/>
              </w:rPr>
            </w:pPr>
          </w:p>
        </w:tc>
        <w:tc>
          <w:tcPr>
            <w:tcW w:w="772"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hint="default" w:ascii="宋体" w:hAnsi="宋体" w:eastAsia="宋体" w:cs="宋体"/>
                <w:b/>
                <w:bCs/>
                <w:sz w:val="20"/>
                <w:szCs w:val="20"/>
                <w:lang w:val="en-US" w:eastAsia="zh-CN"/>
              </w:rPr>
            </w:pPr>
            <w:r>
              <w:rPr>
                <w:rFonts w:hint="eastAsia" w:ascii="宋体" w:hAnsi="宋体" w:eastAsia="宋体" w:cs="宋体"/>
                <w:b/>
                <w:bCs/>
                <w:sz w:val="20"/>
                <w:szCs w:val="20"/>
                <w:lang w:val="en-US" w:eastAsia="zh-CN"/>
              </w:rPr>
              <w:t>8</w:t>
            </w:r>
          </w:p>
        </w:tc>
        <w:tc>
          <w:tcPr>
            <w:tcW w:w="13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lang w:eastAsia="zh-CN"/>
              </w:rPr>
              <w:t>专业学位</w:t>
            </w:r>
          </w:p>
        </w:tc>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rPr>
              <w:t>10</w:t>
            </w:r>
            <w:r>
              <w:rPr>
                <w:rFonts w:hint="eastAsia" w:ascii="宋体" w:hAnsi="宋体" w:eastAsia="宋体" w:cs="宋体"/>
                <w:b/>
                <w:bCs/>
                <w:kern w:val="0"/>
                <w:sz w:val="20"/>
                <w:szCs w:val="20"/>
                <w:lang w:val="en-US" w:eastAsia="zh-CN"/>
              </w:rPr>
              <w:t>5706</w:t>
            </w:r>
          </w:p>
        </w:tc>
        <w:tc>
          <w:tcPr>
            <w:tcW w:w="24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rPr>
              <w:t>中医五官科学（眼科）</w:t>
            </w:r>
          </w:p>
        </w:tc>
        <w:tc>
          <w:tcPr>
            <w:tcW w:w="37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ind w:left="0" w:leftChars="0" w:firstLine="0" w:firstLineChars="0"/>
              <w:jc w:val="center"/>
              <w:textAlignment w:val="center"/>
              <w:rPr>
                <w:rFonts w:ascii="宋体" w:hAnsi="宋体" w:eastAsia="宋体" w:cs="宋体"/>
                <w:b/>
                <w:bCs/>
                <w:sz w:val="20"/>
                <w:szCs w:val="20"/>
              </w:rPr>
            </w:pPr>
            <w:r>
              <w:rPr>
                <w:rFonts w:hint="eastAsia"/>
                <w:sz w:val="20"/>
                <w:szCs w:val="20"/>
              </w:rPr>
              <w:t>总分不低于 315</w:t>
            </w:r>
            <w:r>
              <w:rPr>
                <w:rFonts w:hint="eastAsia"/>
                <w:sz w:val="20"/>
                <w:szCs w:val="20"/>
                <w:lang w:eastAsia="zh-CN"/>
              </w:rPr>
              <w:t>，</w:t>
            </w:r>
            <w:r>
              <w:rPr>
                <w:rFonts w:hint="eastAsia"/>
                <w:sz w:val="20"/>
                <w:szCs w:val="20"/>
              </w:rPr>
              <w:t>英语不低于 41</w:t>
            </w:r>
          </w:p>
        </w:tc>
      </w:tr>
      <w:tr>
        <w:tblPrEx>
          <w:tblCellMar>
            <w:top w:w="0" w:type="dxa"/>
            <w:left w:w="0" w:type="dxa"/>
            <w:bottom w:w="0" w:type="dxa"/>
            <w:right w:w="0" w:type="dxa"/>
          </w:tblCellMar>
        </w:tblPrEx>
        <w:trPr>
          <w:trHeight w:val="454" w:hRule="atLeast"/>
          <w:jc w:val="center"/>
        </w:trPr>
        <w:tc>
          <w:tcPr>
            <w:tcW w:w="772" w:type="dxa"/>
            <w:vMerge w:val="continue"/>
            <w:tcBorders>
              <w:left w:val="single" w:color="000000" w:sz="4" w:space="0"/>
              <w:right w:val="single" w:color="auto" w:sz="4" w:space="0"/>
            </w:tcBorders>
            <w:shd w:val="clear" w:color="auto" w:fill="FFFFFF" w:themeFill="background1"/>
            <w:tcMar>
              <w:top w:w="15" w:type="dxa"/>
              <w:left w:w="15" w:type="dxa"/>
              <w:right w:w="15" w:type="dxa"/>
            </w:tcMar>
            <w:vAlign w:val="center"/>
          </w:tcPr>
          <w:p>
            <w:pPr>
              <w:jc w:val="center"/>
              <w:rPr>
                <w:rFonts w:ascii="宋体" w:hAnsi="宋体" w:eastAsia="宋体" w:cs="宋体"/>
                <w:b/>
                <w:bCs/>
                <w:sz w:val="20"/>
                <w:szCs w:val="20"/>
              </w:rPr>
            </w:pPr>
          </w:p>
        </w:tc>
        <w:tc>
          <w:tcPr>
            <w:tcW w:w="772"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2</w:t>
            </w:r>
          </w:p>
        </w:tc>
        <w:tc>
          <w:tcPr>
            <w:tcW w:w="13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lang w:eastAsia="zh-CN"/>
              </w:rPr>
              <w:t>专业学位</w:t>
            </w:r>
          </w:p>
        </w:tc>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rPr>
              <w:t>10</w:t>
            </w:r>
            <w:r>
              <w:rPr>
                <w:rFonts w:hint="eastAsia" w:ascii="宋体" w:hAnsi="宋体" w:eastAsia="宋体" w:cs="宋体"/>
                <w:b/>
                <w:bCs/>
                <w:kern w:val="0"/>
                <w:sz w:val="20"/>
                <w:szCs w:val="20"/>
                <w:lang w:val="en-US" w:eastAsia="zh-CN"/>
              </w:rPr>
              <w:t>5706</w:t>
            </w:r>
          </w:p>
        </w:tc>
        <w:tc>
          <w:tcPr>
            <w:tcW w:w="24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sz w:val="20"/>
                <w:szCs w:val="20"/>
              </w:rPr>
              <w:t>中医五官科学（耳鼻喉科）</w:t>
            </w:r>
          </w:p>
        </w:tc>
        <w:tc>
          <w:tcPr>
            <w:tcW w:w="37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ind w:left="0" w:leftChars="0" w:firstLine="0" w:firstLineChars="0"/>
              <w:jc w:val="center"/>
              <w:textAlignment w:val="center"/>
              <w:rPr>
                <w:rFonts w:ascii="宋体" w:hAnsi="宋体" w:eastAsia="宋体" w:cs="宋体"/>
                <w:b/>
                <w:bCs/>
                <w:sz w:val="20"/>
                <w:szCs w:val="20"/>
              </w:rPr>
            </w:pPr>
            <w:r>
              <w:rPr>
                <w:rFonts w:hint="eastAsia"/>
                <w:sz w:val="20"/>
                <w:szCs w:val="20"/>
              </w:rPr>
              <w:t>总分不低于 315</w:t>
            </w:r>
            <w:r>
              <w:rPr>
                <w:rFonts w:hint="eastAsia"/>
                <w:sz w:val="20"/>
                <w:szCs w:val="20"/>
                <w:lang w:eastAsia="zh-CN"/>
              </w:rPr>
              <w:t>，</w:t>
            </w:r>
            <w:r>
              <w:rPr>
                <w:rFonts w:hint="eastAsia"/>
                <w:sz w:val="20"/>
                <w:szCs w:val="20"/>
              </w:rPr>
              <w:t>英语不低于 41</w:t>
            </w:r>
          </w:p>
        </w:tc>
      </w:tr>
      <w:tr>
        <w:tblPrEx>
          <w:tblCellMar>
            <w:top w:w="0" w:type="dxa"/>
            <w:left w:w="0" w:type="dxa"/>
            <w:bottom w:w="0" w:type="dxa"/>
            <w:right w:w="0" w:type="dxa"/>
          </w:tblCellMar>
        </w:tblPrEx>
        <w:trPr>
          <w:trHeight w:val="454" w:hRule="atLeast"/>
          <w:jc w:val="center"/>
        </w:trPr>
        <w:tc>
          <w:tcPr>
            <w:tcW w:w="772" w:type="dxa"/>
            <w:vMerge w:val="continue"/>
            <w:tcBorders>
              <w:left w:val="single" w:color="000000" w:sz="4" w:space="0"/>
              <w:bottom w:val="single" w:color="000000" w:sz="4" w:space="0"/>
              <w:right w:val="single" w:color="auto" w:sz="4" w:space="0"/>
            </w:tcBorders>
            <w:shd w:val="clear" w:color="auto" w:fill="FFFFFF" w:themeFill="background1"/>
            <w:tcMar>
              <w:top w:w="15" w:type="dxa"/>
              <w:left w:w="15" w:type="dxa"/>
              <w:right w:w="15" w:type="dxa"/>
            </w:tcMar>
            <w:vAlign w:val="center"/>
          </w:tcPr>
          <w:p>
            <w:pPr>
              <w:jc w:val="center"/>
              <w:rPr>
                <w:rFonts w:ascii="宋体" w:hAnsi="宋体" w:eastAsia="宋体" w:cs="宋体"/>
                <w:b/>
                <w:bCs/>
                <w:sz w:val="20"/>
                <w:szCs w:val="20"/>
              </w:rPr>
            </w:pPr>
          </w:p>
        </w:tc>
        <w:tc>
          <w:tcPr>
            <w:tcW w:w="772"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6</w:t>
            </w:r>
          </w:p>
        </w:tc>
        <w:tc>
          <w:tcPr>
            <w:tcW w:w="13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lang w:eastAsia="zh-CN"/>
              </w:rPr>
              <w:t>专业学位</w:t>
            </w:r>
          </w:p>
        </w:tc>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rPr>
              <w:t>105709</w:t>
            </w:r>
          </w:p>
        </w:tc>
        <w:tc>
          <w:tcPr>
            <w:tcW w:w="24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rPr>
              <w:t>中西医结合临床</w:t>
            </w:r>
          </w:p>
        </w:tc>
        <w:tc>
          <w:tcPr>
            <w:tcW w:w="37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ind w:left="0" w:leftChars="0" w:firstLine="0" w:firstLineChars="0"/>
              <w:jc w:val="center"/>
              <w:textAlignment w:val="center"/>
              <w:rPr>
                <w:rFonts w:ascii="宋体" w:hAnsi="宋体" w:eastAsia="宋体" w:cs="宋体"/>
                <w:b/>
                <w:bCs/>
                <w:sz w:val="20"/>
                <w:szCs w:val="20"/>
              </w:rPr>
            </w:pPr>
            <w:r>
              <w:rPr>
                <w:rFonts w:hint="eastAsia"/>
                <w:sz w:val="20"/>
                <w:szCs w:val="20"/>
              </w:rPr>
              <w:t>总分不低于 315</w:t>
            </w:r>
            <w:r>
              <w:rPr>
                <w:rFonts w:hint="eastAsia"/>
                <w:sz w:val="20"/>
                <w:szCs w:val="20"/>
                <w:lang w:eastAsia="zh-CN"/>
              </w:rPr>
              <w:t>，</w:t>
            </w:r>
            <w:r>
              <w:rPr>
                <w:rFonts w:hint="eastAsia"/>
                <w:sz w:val="20"/>
                <w:szCs w:val="20"/>
              </w:rPr>
              <w:t>英语不低于 41</w:t>
            </w:r>
          </w:p>
        </w:tc>
      </w:tr>
    </w:tbl>
    <w:p>
      <w:pPr>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br w:type="page"/>
      </w:r>
    </w:p>
    <w:p>
      <w:pPr>
        <w:pStyle w:val="13"/>
        <w:keepNext w:val="0"/>
        <w:keepLines w:val="0"/>
        <w:pageBreakBefore w:val="0"/>
        <w:widowControl w:val="0"/>
        <w:kinsoku/>
        <w:wordWrap/>
        <w:overflowPunct/>
        <w:topLinePunct w:val="0"/>
        <w:bidi w:val="0"/>
        <w:adjustRightInd w:val="0"/>
        <w:snapToGrid w:val="0"/>
        <w:spacing w:line="336" w:lineRule="auto"/>
        <w:textAlignment w:val="auto"/>
        <w:rPr>
          <w:rFonts w:hint="eastAsia" w:ascii="宋体" w:hAnsi="宋体" w:eastAsia="宋体" w:cs="宋体"/>
          <w:color w:val="auto"/>
        </w:rPr>
      </w:pPr>
      <w:r>
        <w:rPr>
          <w:rFonts w:hint="eastAsia" w:ascii="宋体" w:hAnsi="宋体" w:eastAsia="宋体" w:cs="宋体"/>
          <w:b/>
          <w:bCs/>
          <w:color w:val="auto"/>
          <w:lang w:val="en-US" w:eastAsia="zh-CN"/>
        </w:rPr>
        <w:t>三</w:t>
      </w:r>
      <w:r>
        <w:rPr>
          <w:rFonts w:hint="eastAsia" w:ascii="宋体" w:hAnsi="宋体" w:eastAsia="宋体" w:cs="宋体"/>
          <w:b/>
          <w:bCs/>
          <w:color w:val="auto"/>
        </w:rPr>
        <w:t>、复试内容</w:t>
      </w:r>
    </w:p>
    <w:p>
      <w:pPr>
        <w:keepNext w:val="0"/>
        <w:keepLines w:val="0"/>
        <w:pageBreakBefore w:val="0"/>
        <w:widowControl w:val="0"/>
        <w:kinsoku/>
        <w:wordWrap/>
        <w:overflowPunct/>
        <w:topLinePunct w:val="0"/>
        <w:bidi w:val="0"/>
        <w:adjustRightInd w:val="0"/>
        <w:snapToGrid w:val="0"/>
        <w:spacing w:line="336" w:lineRule="auto"/>
        <w:ind w:right="0" w:rightChars="0" w:firstLine="241" w:firstLineChars="1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（一）专业笔试</w:t>
      </w:r>
    </w:p>
    <w:p>
      <w:pPr>
        <w:keepNext w:val="0"/>
        <w:keepLines w:val="0"/>
        <w:pageBreakBefore w:val="0"/>
        <w:widowControl w:val="0"/>
        <w:kinsoku/>
        <w:wordWrap/>
        <w:overflowPunct/>
        <w:topLinePunct w:val="0"/>
        <w:bidi w:val="0"/>
        <w:adjustRightInd w:val="0"/>
        <w:snapToGrid w:val="0"/>
        <w:spacing w:line="336" w:lineRule="auto"/>
        <w:ind w:right="0" w:rightChars="0"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1.笔试科目及范围</w:t>
      </w:r>
    </w:p>
    <w:tbl>
      <w:tblPr>
        <w:tblStyle w:val="7"/>
        <w:tblW w:w="10100" w:type="dxa"/>
        <w:jc w:val="center"/>
        <w:tblLayout w:type="fixed"/>
        <w:tblCellMar>
          <w:top w:w="0" w:type="dxa"/>
          <w:left w:w="108" w:type="dxa"/>
          <w:bottom w:w="0" w:type="dxa"/>
          <w:right w:w="108" w:type="dxa"/>
        </w:tblCellMar>
      </w:tblPr>
      <w:tblGrid>
        <w:gridCol w:w="2651"/>
        <w:gridCol w:w="1942"/>
        <w:gridCol w:w="5507"/>
      </w:tblGrid>
      <w:tr>
        <w:tblPrEx>
          <w:tblCellMar>
            <w:top w:w="0" w:type="dxa"/>
            <w:left w:w="108" w:type="dxa"/>
            <w:bottom w:w="0" w:type="dxa"/>
            <w:right w:w="108" w:type="dxa"/>
          </w:tblCellMar>
        </w:tblPrEx>
        <w:trPr>
          <w:trHeight w:val="339" w:hRule="atLeast"/>
          <w:tblHeader/>
          <w:jc w:val="center"/>
        </w:trPr>
        <w:tc>
          <w:tcPr>
            <w:tcW w:w="2651" w:type="dxa"/>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报考专业</w:t>
            </w:r>
          </w:p>
        </w:tc>
        <w:tc>
          <w:tcPr>
            <w:tcW w:w="19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复试命题科目名称</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教材版本或复习范围</w:t>
            </w:r>
          </w:p>
        </w:tc>
      </w:tr>
      <w:tr>
        <w:tblPrEx>
          <w:tblCellMar>
            <w:top w:w="0" w:type="dxa"/>
            <w:left w:w="108" w:type="dxa"/>
            <w:bottom w:w="0" w:type="dxa"/>
            <w:right w:w="108" w:type="dxa"/>
          </w:tblCellMar>
        </w:tblPrEx>
        <w:trPr>
          <w:trHeight w:val="396" w:hRule="atLeast"/>
          <w:jc w:val="center"/>
        </w:trPr>
        <w:tc>
          <w:tcPr>
            <w:tcW w:w="2651"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(100207)影像医学与核医学</w:t>
            </w:r>
          </w:p>
        </w:tc>
        <w:tc>
          <w:tcPr>
            <w:tcW w:w="19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医学影像诊断学</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《医学影像诊断学》（第五版）人卫出版社</w:t>
            </w:r>
          </w:p>
        </w:tc>
      </w:tr>
      <w:tr>
        <w:tblPrEx>
          <w:tblCellMar>
            <w:top w:w="0" w:type="dxa"/>
            <w:left w:w="108" w:type="dxa"/>
            <w:bottom w:w="0" w:type="dxa"/>
            <w:right w:w="108" w:type="dxa"/>
          </w:tblCellMar>
        </w:tblPrEx>
        <w:trPr>
          <w:trHeight w:val="699" w:hRule="atLeast"/>
          <w:jc w:val="center"/>
        </w:trPr>
        <w:tc>
          <w:tcPr>
            <w:tcW w:w="2651"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(105709)中西医结合临床</w:t>
            </w:r>
          </w:p>
        </w:tc>
        <w:tc>
          <w:tcPr>
            <w:tcW w:w="19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中西医结合外科学</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auto"/>
                <w:kern w:val="0"/>
                <w:sz w:val="20"/>
                <w:szCs w:val="20"/>
                <w:u w:val="none"/>
                <w:lang w:val="en-US" w:eastAsia="zh-CN" w:bidi="ar"/>
              </w:rPr>
              <w:t>中西医结合外科学（主编：何清湖，中国中医药出版社，全国中医药行业高等教育“十三五”规划教材）</w:t>
            </w:r>
          </w:p>
        </w:tc>
      </w:tr>
      <w:tr>
        <w:tblPrEx>
          <w:tblCellMar>
            <w:top w:w="0" w:type="dxa"/>
            <w:left w:w="108" w:type="dxa"/>
            <w:bottom w:w="0" w:type="dxa"/>
            <w:right w:w="108" w:type="dxa"/>
          </w:tblCellMar>
        </w:tblPrEx>
        <w:trPr>
          <w:trHeight w:val="530" w:hRule="atLeast"/>
          <w:jc w:val="center"/>
        </w:trPr>
        <w:tc>
          <w:tcPr>
            <w:tcW w:w="2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(100800)中药学</w:t>
            </w:r>
          </w:p>
        </w:tc>
        <w:tc>
          <w:tcPr>
            <w:tcW w:w="19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中药学</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《中药学》，</w:t>
            </w: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"https://www.amazon.cn/s/ref=dp_byline_sr_ebooks_1?ie=UTF8&amp;field-author=%E9%92%9F%E8%B5%A3%E7%94%9F&amp;text=%E9%92%9F%E8%B5%A3%E7%94%9F&amp;sort=relevancerank&amp;search-alias=digital-text" </w:instrText>
            </w:r>
            <w:r>
              <w:rPr>
                <w:rFonts w:hint="eastAsia" w:ascii="宋体" w:hAnsi="宋体" w:eastAsia="宋体" w:cs="宋体"/>
                <w:i w:val="0"/>
                <w:iCs w:val="0"/>
                <w:color w:val="auto"/>
                <w:kern w:val="0"/>
                <w:sz w:val="20"/>
                <w:szCs w:val="20"/>
                <w:u w:val="none"/>
                <w:lang w:val="en-US" w:eastAsia="zh-CN" w:bidi="ar"/>
              </w:rPr>
              <w:fldChar w:fldCharType="separate"/>
            </w:r>
            <w:r>
              <w:rPr>
                <w:rFonts w:hint="eastAsia" w:ascii="宋体" w:hAnsi="宋体" w:eastAsia="宋体" w:cs="宋体"/>
                <w:i w:val="0"/>
                <w:iCs w:val="0"/>
                <w:color w:val="auto"/>
                <w:kern w:val="0"/>
                <w:sz w:val="20"/>
                <w:szCs w:val="20"/>
                <w:u w:val="none"/>
                <w:lang w:val="en-US" w:eastAsia="zh-CN" w:bidi="ar"/>
              </w:rPr>
              <w:t>钟赣生</w:t>
            </w:r>
            <w:r>
              <w:rPr>
                <w:rFonts w:hint="eastAsia" w:ascii="宋体" w:hAnsi="宋体" w:eastAsia="宋体" w:cs="宋体"/>
                <w:i w:val="0"/>
                <w:iCs w:val="0"/>
                <w:color w:val="auto"/>
                <w:kern w:val="0"/>
                <w:sz w:val="20"/>
                <w:szCs w:val="20"/>
                <w:u w:val="none"/>
                <w:lang w:val="en-US" w:eastAsia="zh-CN" w:bidi="ar"/>
              </w:rPr>
              <w:fldChar w:fldCharType="end"/>
            </w:r>
            <w:r>
              <w:rPr>
                <w:rFonts w:hint="eastAsia" w:ascii="宋体" w:hAnsi="宋体" w:eastAsia="宋体" w:cs="宋体"/>
                <w:i w:val="0"/>
                <w:iCs w:val="0"/>
                <w:color w:val="auto"/>
                <w:kern w:val="0"/>
                <w:sz w:val="20"/>
                <w:szCs w:val="20"/>
                <w:u w:val="none"/>
                <w:lang w:val="en-US" w:eastAsia="zh-CN" w:bidi="ar"/>
              </w:rPr>
              <w:t>主编，</w:t>
            </w:r>
            <w:r>
              <w:rPr>
                <w:rFonts w:hint="eastAsia" w:ascii="宋体" w:hAnsi="宋体" w:eastAsia="宋体" w:cs="宋体"/>
                <w:i w:val="0"/>
                <w:iCs w:val="0"/>
                <w:color w:val="auto"/>
                <w:sz w:val="20"/>
                <w:szCs w:val="20"/>
                <w:u w:val="none"/>
              </w:rPr>
              <w:t>十三五规划教材，中国中医药出版社</w:t>
            </w:r>
          </w:p>
        </w:tc>
      </w:tr>
      <w:tr>
        <w:tblPrEx>
          <w:tblCellMar>
            <w:top w:w="0" w:type="dxa"/>
            <w:left w:w="108" w:type="dxa"/>
            <w:bottom w:w="0" w:type="dxa"/>
            <w:right w:w="108" w:type="dxa"/>
          </w:tblCellMar>
        </w:tblPrEx>
        <w:trPr>
          <w:trHeight w:val="427" w:hRule="atLeast"/>
          <w:jc w:val="center"/>
        </w:trPr>
        <w:tc>
          <w:tcPr>
            <w:tcW w:w="2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(105703)中医骨伤科学</w:t>
            </w:r>
          </w:p>
        </w:tc>
        <w:tc>
          <w:tcPr>
            <w:tcW w:w="19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中医骨伤科学</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《中医骨伤科学》十三五规划教材，中国中医药出版社</w:t>
            </w:r>
          </w:p>
        </w:tc>
      </w:tr>
      <w:tr>
        <w:tblPrEx>
          <w:tblCellMar>
            <w:top w:w="0" w:type="dxa"/>
            <w:left w:w="108" w:type="dxa"/>
            <w:bottom w:w="0" w:type="dxa"/>
            <w:right w:w="108" w:type="dxa"/>
          </w:tblCellMar>
        </w:tblPrEx>
        <w:trPr>
          <w:trHeight w:val="339" w:hRule="atLeast"/>
          <w:jc w:val="center"/>
        </w:trPr>
        <w:tc>
          <w:tcPr>
            <w:tcW w:w="2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(105706)中医五官科学</w:t>
            </w:r>
          </w:p>
        </w:tc>
        <w:tc>
          <w:tcPr>
            <w:tcW w:w="19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中医五官科学</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《中医眼科学》、《中医耳鼻喉科学》十三五规划教材，中国中医药出版社</w:t>
            </w:r>
          </w:p>
        </w:tc>
      </w:tr>
    </w:tbl>
    <w:p>
      <w:pPr>
        <w:keepNext w:val="0"/>
        <w:keepLines w:val="0"/>
        <w:pageBreakBefore w:val="0"/>
        <w:widowControl w:val="0"/>
        <w:kinsoku/>
        <w:wordWrap/>
        <w:overflowPunct/>
        <w:topLinePunct w:val="0"/>
        <w:autoSpaceDE/>
        <w:autoSpaceDN/>
        <w:bidi w:val="0"/>
        <w:adjustRightInd w:val="0"/>
        <w:snapToGrid w:val="0"/>
        <w:spacing w:line="336" w:lineRule="auto"/>
        <w:ind w:right="0" w:rightChars="0"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2.题型以综合性、开放型为主。</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lang w:eastAsia="zh-CN"/>
        </w:rPr>
        <w:t>考试形式：线上闭卷考试。</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firstLine="241" w:firstLineChars="1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（二）英语听力与口语测试</w:t>
      </w:r>
    </w:p>
    <w:p>
      <w:pPr>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以口语对话形式考察学生外语听说能力，内容包含自我介绍和英语问答</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满分为100分。</w:t>
      </w:r>
    </w:p>
    <w:p>
      <w:pPr>
        <w:pStyle w:val="22"/>
        <w:keepNext w:val="0"/>
        <w:keepLines w:val="0"/>
        <w:pageBreakBefore w:val="0"/>
        <w:widowControl w:val="0"/>
        <w:kinsoku/>
        <w:wordWrap/>
        <w:overflowPunct/>
        <w:topLinePunct w:val="0"/>
        <w:bidi w:val="0"/>
        <w:adjustRightInd w:val="0"/>
        <w:snapToGrid w:val="0"/>
        <w:spacing w:line="336" w:lineRule="auto"/>
        <w:ind w:right="0" w:rightChars="0" w:firstLine="241" w:firstLineChars="100"/>
        <w:textAlignment w:val="auto"/>
        <w:rPr>
          <w:rFonts w:hint="eastAsia" w:ascii="宋体" w:hAnsi="宋体" w:eastAsia="宋体" w:cs="宋体"/>
          <w:b/>
          <w:color w:val="auto"/>
          <w:kern w:val="2"/>
        </w:rPr>
      </w:pPr>
      <w:r>
        <w:rPr>
          <w:rFonts w:hint="eastAsia" w:ascii="宋体" w:hAnsi="宋体" w:eastAsia="宋体" w:cs="宋体"/>
          <w:b/>
          <w:color w:val="auto"/>
          <w:kern w:val="2"/>
        </w:rPr>
        <w:t>（三）综合素质能力考察</w:t>
      </w:r>
    </w:p>
    <w:p>
      <w:pPr>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采用</w:t>
      </w:r>
      <w:r>
        <w:rPr>
          <w:rFonts w:hint="eastAsia" w:ascii="宋体" w:hAnsi="宋体" w:eastAsia="宋体" w:cs="宋体"/>
          <w:color w:val="auto"/>
          <w:sz w:val="24"/>
          <w:szCs w:val="24"/>
          <w:lang w:eastAsia="zh-CN"/>
        </w:rPr>
        <w:t>网络</w:t>
      </w:r>
      <w:r>
        <w:rPr>
          <w:rFonts w:hint="eastAsia" w:ascii="宋体" w:hAnsi="宋体" w:eastAsia="宋体" w:cs="宋体"/>
          <w:color w:val="auto"/>
          <w:sz w:val="24"/>
          <w:szCs w:val="24"/>
        </w:rPr>
        <w:t>面试方法，全方位考察学生</w:t>
      </w:r>
      <w:r>
        <w:rPr>
          <w:rFonts w:hint="eastAsia" w:ascii="宋体" w:hAnsi="宋体" w:eastAsia="宋体" w:cs="宋体"/>
          <w:color w:val="auto"/>
          <w:sz w:val="24"/>
          <w:szCs w:val="24"/>
          <w:lang w:eastAsia="zh-CN"/>
        </w:rPr>
        <w:t>人文素养</w:t>
      </w:r>
      <w:r>
        <w:rPr>
          <w:rFonts w:hint="eastAsia" w:ascii="宋体" w:hAnsi="宋体" w:eastAsia="宋体" w:cs="宋体"/>
          <w:color w:val="auto"/>
          <w:sz w:val="24"/>
          <w:szCs w:val="24"/>
        </w:rPr>
        <w:t>、表达、礼仪和对该专业的基本理论、基本知识、学科前沿和基本技能掌握的程度以及运用所学基础知识和理论分析解决问题的能力等，满分为100分。包括自我介绍环节和专业问答环节。</w:t>
      </w:r>
    </w:p>
    <w:p>
      <w:pPr>
        <w:pStyle w:val="20"/>
        <w:keepNext w:val="0"/>
        <w:keepLines w:val="0"/>
        <w:pageBreakBefore w:val="0"/>
        <w:widowControl w:val="0"/>
        <w:kinsoku/>
        <w:wordWrap/>
        <w:overflowPunct/>
        <w:topLinePunct w:val="0"/>
        <w:bidi w:val="0"/>
        <w:adjustRightInd w:val="0"/>
        <w:snapToGrid w:val="0"/>
        <w:spacing w:line="336" w:lineRule="auto"/>
        <w:ind w:right="0" w:rightChars="0"/>
        <w:textAlignment w:val="auto"/>
        <w:rPr>
          <w:rFonts w:hint="eastAsia" w:ascii="宋体" w:hAnsi="宋体" w:eastAsia="宋体" w:cs="宋体"/>
          <w:color w:val="auto"/>
        </w:rPr>
      </w:pPr>
      <w:r>
        <w:rPr>
          <w:rFonts w:hint="eastAsia" w:ascii="宋体" w:hAnsi="宋体" w:eastAsia="宋体" w:cs="宋体"/>
          <w:b/>
          <w:color w:val="auto"/>
          <w:lang w:val="en-US" w:eastAsia="zh-CN"/>
        </w:rPr>
        <w:t>四</w:t>
      </w:r>
      <w:r>
        <w:rPr>
          <w:rFonts w:hint="eastAsia" w:ascii="宋体" w:hAnsi="宋体" w:eastAsia="宋体" w:cs="宋体"/>
          <w:b/>
          <w:color w:val="auto"/>
        </w:rPr>
        <w:t>、复试时间、地点和程序安排</w:t>
      </w:r>
    </w:p>
    <w:p>
      <w:pPr>
        <w:keepNext w:val="0"/>
        <w:keepLines w:val="0"/>
        <w:pageBreakBefore w:val="0"/>
        <w:widowControl w:val="0"/>
        <w:kinsoku/>
        <w:wordWrap/>
        <w:overflowPunct/>
        <w:topLinePunct w:val="0"/>
        <w:bidi w:val="0"/>
        <w:adjustRightInd w:val="0"/>
        <w:snapToGrid w:val="0"/>
        <w:spacing w:line="336" w:lineRule="auto"/>
        <w:ind w:right="0" w:rightChars="0" w:firstLine="241" w:firstLineChars="100"/>
        <w:textAlignment w:val="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（一）资格审查</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1.审查</w:t>
      </w:r>
      <w:r>
        <w:rPr>
          <w:rFonts w:hint="eastAsia" w:ascii="宋体" w:hAnsi="宋体" w:eastAsia="宋体" w:cs="宋体"/>
          <w:b/>
          <w:bCs/>
          <w:color w:val="auto"/>
          <w:sz w:val="24"/>
          <w:szCs w:val="24"/>
        </w:rPr>
        <w:t>时间：202</w:t>
      </w: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年</w:t>
      </w: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月</w:t>
      </w:r>
      <w:r>
        <w:rPr>
          <w:rFonts w:hint="eastAsia" w:ascii="宋体" w:hAnsi="宋体" w:eastAsia="宋体" w:cs="宋体"/>
          <w:b/>
          <w:bCs/>
          <w:color w:val="auto"/>
          <w:sz w:val="24"/>
          <w:szCs w:val="24"/>
          <w:lang w:val="en-US" w:eastAsia="zh-CN"/>
        </w:rPr>
        <w:t>8日全天</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firstLine="482" w:firstLineChars="200"/>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lang w:eastAsia="zh-CN"/>
        </w:rPr>
        <w:t>审查材料（</w:t>
      </w:r>
      <w:r>
        <w:rPr>
          <w:rFonts w:hint="eastAsia" w:ascii="宋体" w:hAnsi="宋体" w:eastAsia="宋体" w:cs="宋体"/>
          <w:b w:val="0"/>
          <w:i w:val="0"/>
          <w:caps w:val="0"/>
          <w:color w:val="auto"/>
          <w:spacing w:val="0"/>
          <w:sz w:val="24"/>
          <w:szCs w:val="24"/>
          <w:shd w:val="clear" w:color="auto" w:fill="FFFFFF"/>
        </w:rPr>
        <w:t>扫描</w:t>
      </w:r>
      <w:r>
        <w:rPr>
          <w:rFonts w:hint="eastAsia" w:ascii="宋体" w:hAnsi="宋体" w:eastAsia="宋体" w:cs="宋体"/>
          <w:b w:val="0"/>
          <w:i w:val="0"/>
          <w:caps w:val="0"/>
          <w:color w:val="auto"/>
          <w:spacing w:val="0"/>
          <w:sz w:val="24"/>
          <w:szCs w:val="24"/>
          <w:shd w:val="clear" w:color="auto" w:fill="FFFFFF"/>
          <w:lang w:val="en-US"/>
        </w:rPr>
        <w:t>PDF,</w:t>
      </w:r>
      <w:r>
        <w:rPr>
          <w:rFonts w:hint="eastAsia" w:ascii="宋体" w:hAnsi="宋体" w:eastAsia="宋体" w:cs="宋体"/>
          <w:b w:val="0"/>
          <w:i w:val="0"/>
          <w:caps w:val="0"/>
          <w:color w:val="auto"/>
          <w:spacing w:val="0"/>
          <w:sz w:val="24"/>
          <w:szCs w:val="24"/>
          <w:shd w:val="clear" w:color="auto" w:fill="FFFFFF"/>
        </w:rPr>
        <w:t>单个文件大小不超过</w:t>
      </w:r>
      <w:r>
        <w:rPr>
          <w:rFonts w:hint="eastAsia" w:ascii="宋体" w:hAnsi="宋体" w:eastAsia="宋体" w:cs="宋体"/>
          <w:b w:val="0"/>
          <w:i w:val="0"/>
          <w:caps w:val="0"/>
          <w:color w:val="auto"/>
          <w:spacing w:val="0"/>
          <w:sz w:val="24"/>
          <w:szCs w:val="24"/>
          <w:shd w:val="clear" w:color="auto" w:fill="FFFFFF"/>
          <w:lang w:val="en-US"/>
        </w:rPr>
        <w:t>2M</w:t>
      </w:r>
      <w:r>
        <w:rPr>
          <w:rFonts w:hint="eastAsia" w:ascii="宋体" w:hAnsi="宋体" w:eastAsia="宋体" w:cs="宋体"/>
          <w:b/>
          <w:color w:val="auto"/>
          <w:sz w:val="24"/>
          <w:szCs w:val="24"/>
          <w:lang w:eastAsia="zh-CN"/>
        </w:rPr>
        <w:t>）：</w:t>
      </w:r>
    </w:p>
    <w:p>
      <w:pPr>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（1）初试准考证。</w:t>
      </w:r>
    </w:p>
    <w:p>
      <w:pPr>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（2）有效身份证原件。</w:t>
      </w:r>
    </w:p>
    <w:p>
      <w:pPr>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（3）本科学习期间成绩单（需加盖毕业院校教务部门或档案部门公章）。</w:t>
      </w:r>
    </w:p>
    <w:p>
      <w:pPr>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（4）往届考生提交本科毕业证、学位证或《教育部学历证书电子注册备案表》（可登录</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HYPERLINK "https://account.chsi.com.cn/passport/login?service=http:/my.chsi.com.cn/archive/j_spring_cas_security_check;jsessionid=EB3BECFAF1BBF4FCE7D7FB115B1E9DC2"</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教育部学信网</w:t>
      </w:r>
      <w:r>
        <w:rPr>
          <w:rFonts w:hint="eastAsia" w:ascii="宋体" w:hAnsi="宋体" w:eastAsia="宋体" w:cs="宋体"/>
          <w:color w:val="auto"/>
          <w:sz w:val="24"/>
          <w:szCs w:val="24"/>
          <w:lang w:val="en-US" w:eastAsia="zh-CN"/>
        </w:rPr>
        <w:fldChar w:fldCharType="end"/>
      </w:r>
      <w:r>
        <w:rPr>
          <w:rFonts w:hint="eastAsia" w:ascii="宋体" w:hAnsi="宋体" w:eastAsia="宋体" w:cs="宋体"/>
          <w:color w:val="auto"/>
          <w:sz w:val="24"/>
          <w:szCs w:val="24"/>
          <w:lang w:val="en-US" w:eastAsia="zh-CN"/>
        </w:rPr>
        <w:t>进行网上申请）、《中国高等教育学历认证报告》。在国外获得学历、学位的考生，提交由教育部留学服务中心出具的《国（境）外学历学位认证书》。应届本科毕业生提交学生证或《教育部学籍在线验证报告》（可登录</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HYPERLINK "https://account.chsi.com.cn/passport/login?service=http:/my.chsi.com.cn/archive/j_spring_cas_security_check;jsessionid=EB3BECFAF1BBF4FCE7D7FB115B1E9DC2"</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教育部学信网</w:t>
      </w:r>
      <w:r>
        <w:rPr>
          <w:rFonts w:hint="eastAsia" w:ascii="宋体" w:hAnsi="宋体" w:eastAsia="宋体" w:cs="宋体"/>
          <w:color w:val="auto"/>
          <w:sz w:val="24"/>
          <w:szCs w:val="24"/>
          <w:lang w:val="en-US" w:eastAsia="zh-CN"/>
        </w:rPr>
        <w:fldChar w:fldCharType="end"/>
      </w:r>
      <w:r>
        <w:rPr>
          <w:rFonts w:hint="eastAsia" w:ascii="宋体" w:hAnsi="宋体" w:eastAsia="宋体" w:cs="宋体"/>
          <w:color w:val="auto"/>
          <w:sz w:val="24"/>
          <w:szCs w:val="24"/>
          <w:lang w:val="en-US" w:eastAsia="zh-CN"/>
        </w:rPr>
        <w:t>）进行网上申请。未毕业自考生，还需提供考籍卡（证）照片及全国自学考试6科以上（含6科）成绩单复印件。</w:t>
      </w:r>
    </w:p>
    <w:p>
      <w:pPr>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湖南中医药大学硕士研究生复试考生思想政治情况（现实表现材料）》（在研究生院网站下载），由考生本人档案所在单位的人事、政工部门填写意见并盖章，思想品德考核不合格者不予录取；无学习或工作单位人员可请街道办事处开具相关证明。</w:t>
      </w:r>
    </w:p>
    <w:p>
      <w:pPr>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（6）考生自述（包括政治表现、外语水平、业务和科研能力、研究计划等，无固定格式模板，考生请自行用A4纸打印并手写签名）。</w:t>
      </w:r>
    </w:p>
    <w:p>
      <w:pPr>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所交材料应在规定时间内上传至考试系统，未进行资格审查或资格审查未通过的考生一律不予录取。</w:t>
      </w:r>
    </w:p>
    <w:p>
      <w:pPr>
        <w:keepNext w:val="0"/>
        <w:keepLines w:val="0"/>
        <w:pageBreakBefore w:val="0"/>
        <w:widowControl w:val="0"/>
        <w:kinsoku/>
        <w:wordWrap/>
        <w:overflowPunct/>
        <w:topLinePunct w:val="0"/>
        <w:bidi w:val="0"/>
        <w:adjustRightInd w:val="0"/>
        <w:snapToGrid w:val="0"/>
        <w:spacing w:line="336" w:lineRule="auto"/>
        <w:ind w:right="0" w:rightChars="0" w:firstLine="482" w:firstLineChars="200"/>
        <w:textAlignment w:val="auto"/>
        <w:rPr>
          <w:rFonts w:hint="eastAsia" w:ascii="宋体" w:hAnsi="宋体" w:eastAsia="宋体" w:cs="宋体"/>
          <w:b/>
          <w:bCs/>
          <w:color w:val="auto"/>
          <w:sz w:val="24"/>
          <w:szCs w:val="24"/>
          <w:u w:val="single"/>
          <w:lang w:eastAsia="zh-CN"/>
        </w:rPr>
      </w:pPr>
      <w:r>
        <w:rPr>
          <w:rFonts w:hint="eastAsia" w:ascii="宋体" w:hAnsi="宋体" w:eastAsia="宋体" w:cs="宋体"/>
          <w:b/>
          <w:bCs/>
          <w:color w:val="auto"/>
          <w:sz w:val="24"/>
          <w:szCs w:val="24"/>
          <w:u w:val="single"/>
          <w:lang w:eastAsia="zh-CN"/>
        </w:rPr>
        <w:t>如遇特殊情况请与学院招生老师联系，提前说明情况！</w:t>
      </w:r>
    </w:p>
    <w:p>
      <w:pPr>
        <w:keepNext w:val="0"/>
        <w:keepLines w:val="0"/>
        <w:pageBreakBefore w:val="0"/>
        <w:widowControl w:val="0"/>
        <w:kinsoku/>
        <w:wordWrap/>
        <w:overflowPunct/>
        <w:topLinePunct w:val="0"/>
        <w:bidi w:val="0"/>
        <w:adjustRightInd w:val="0"/>
        <w:snapToGrid w:val="0"/>
        <w:spacing w:line="336" w:lineRule="auto"/>
        <w:ind w:right="0" w:rightChars="0" w:firstLine="241" w:firstLineChars="100"/>
        <w:textAlignment w:val="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（二）网络专业笔试培训时间</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firstLine="480" w:firstLineChars="200"/>
        <w:textAlignment w:val="auto"/>
        <w:rPr>
          <w:rFonts w:hint="default" w:ascii="宋体" w:hAnsi="宋体" w:eastAsia="宋体" w:cs="宋体"/>
          <w:color w:val="auto"/>
          <w:sz w:val="24"/>
          <w:szCs w:val="24"/>
          <w:lang w:val="en-US"/>
        </w:rPr>
      </w:pPr>
      <w:r>
        <w:rPr>
          <w:rFonts w:hint="eastAsia" w:ascii="宋体" w:hAnsi="宋体" w:eastAsia="宋体" w:cs="宋体"/>
          <w:color w:val="auto"/>
          <w:sz w:val="24"/>
          <w:szCs w:val="24"/>
        </w:rPr>
        <w:t>时间：202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日（周</w:t>
      </w: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16:30</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firstLine="480" w:firstLineChars="200"/>
        <w:textAlignment w:val="auto"/>
        <w:rPr>
          <w:rFonts w:hint="eastAsia" w:ascii="宋体" w:hAnsi="宋体" w:eastAsia="宋体" w:cs="宋体"/>
          <w:b/>
          <w:color w:val="auto"/>
          <w:sz w:val="24"/>
          <w:szCs w:val="24"/>
          <w:lang w:val="zh-CN"/>
        </w:rPr>
      </w:pPr>
      <w:r>
        <w:rPr>
          <w:rFonts w:hint="eastAsia" w:ascii="宋体" w:hAnsi="宋体" w:eastAsia="宋体" w:cs="宋体"/>
          <w:color w:val="auto"/>
          <w:sz w:val="24"/>
          <w:szCs w:val="24"/>
          <w:lang w:val="en-US" w:eastAsia="zh-CN"/>
        </w:rPr>
        <w:t>平台：移动云考场</w:t>
      </w:r>
    </w:p>
    <w:p>
      <w:pPr>
        <w:keepNext w:val="0"/>
        <w:keepLines w:val="0"/>
        <w:pageBreakBefore w:val="0"/>
        <w:widowControl w:val="0"/>
        <w:kinsoku/>
        <w:wordWrap/>
        <w:overflowPunct/>
        <w:topLinePunct w:val="0"/>
        <w:bidi w:val="0"/>
        <w:adjustRightInd w:val="0"/>
        <w:snapToGrid w:val="0"/>
        <w:spacing w:line="336" w:lineRule="auto"/>
        <w:ind w:right="0" w:rightChars="0" w:firstLine="241" w:firstLineChars="100"/>
        <w:textAlignment w:val="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（三）网络专业笔试时间</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日（周</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09:00-10:30</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平台：移动云考场</w:t>
      </w:r>
    </w:p>
    <w:p>
      <w:pPr>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rPr>
          <w:rFonts w:hint="eastAsia" w:ascii="宋体" w:hAnsi="宋体" w:eastAsia="宋体" w:cs="宋体"/>
          <w:b/>
          <w:color w:val="auto"/>
          <w:sz w:val="24"/>
          <w:szCs w:val="24"/>
          <w:lang w:val="zh-CN"/>
        </w:rPr>
      </w:pPr>
      <w:r>
        <w:rPr>
          <w:rFonts w:hint="eastAsia" w:ascii="宋体" w:hAnsi="宋体" w:eastAsia="宋体" w:cs="宋体"/>
          <w:color w:val="auto"/>
          <w:sz w:val="24"/>
          <w:szCs w:val="24"/>
          <w:lang w:val="en-US" w:eastAsia="zh-CN"/>
        </w:rPr>
        <w:t>所有考试均采用线上作答的形式，作答完成后务必点击“提交答卷”按钮。详细操作流程见操作手册。</w:t>
      </w:r>
    </w:p>
    <w:p>
      <w:pPr>
        <w:keepNext w:val="0"/>
        <w:keepLines w:val="0"/>
        <w:pageBreakBefore w:val="0"/>
        <w:widowControl w:val="0"/>
        <w:kinsoku/>
        <w:wordWrap/>
        <w:overflowPunct/>
        <w:topLinePunct w:val="0"/>
        <w:bidi w:val="0"/>
        <w:snapToGrid w:val="0"/>
        <w:spacing w:line="336" w:lineRule="auto"/>
        <w:ind w:firstLine="241" w:firstLineChars="100"/>
        <w:textAlignment w:val="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（四）网络英语听力与口语测试</w:t>
      </w:r>
    </w:p>
    <w:p>
      <w:pPr>
        <w:keepNext w:val="0"/>
        <w:keepLines w:val="0"/>
        <w:pageBreakBefore w:val="0"/>
        <w:widowControl w:val="0"/>
        <w:kinsoku/>
        <w:wordWrap/>
        <w:overflowPunct/>
        <w:topLinePunct w:val="0"/>
        <w:bidi w:val="0"/>
        <w:snapToGrid w:val="0"/>
        <w:spacing w:line="336" w:lineRule="auto"/>
        <w:ind w:firstLine="480" w:firstLineChars="200"/>
        <w:textAlignment w:val="auto"/>
        <w:rPr>
          <w:rFonts w:hint="eastAsia" w:ascii="宋体" w:hAnsi="宋体" w:eastAsia="宋体" w:cs="宋体"/>
          <w:color w:val="auto"/>
          <w:sz w:val="24"/>
          <w:lang w:val="zh-CN"/>
        </w:rPr>
      </w:pPr>
      <w:r>
        <w:rPr>
          <w:rFonts w:hint="eastAsia" w:ascii="宋体" w:hAnsi="宋体" w:eastAsia="宋体" w:cs="宋体"/>
          <w:color w:val="auto"/>
          <w:sz w:val="24"/>
          <w:lang w:val="zh-CN"/>
        </w:rPr>
        <w:t>时间：</w:t>
      </w: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日（周</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15:00开始</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firstLine="480" w:firstLineChars="20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平台：腾讯会议APP</w:t>
      </w:r>
      <w:bookmarkStart w:id="0" w:name="_GoBack"/>
      <w:bookmarkEnd w:id="0"/>
    </w:p>
    <w:p>
      <w:pPr>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rPr>
          <w:rFonts w:hint="eastAsia" w:ascii="宋体" w:hAnsi="宋体" w:eastAsia="宋体" w:cs="宋体"/>
          <w:b/>
          <w:color w:val="auto"/>
          <w:sz w:val="24"/>
          <w:szCs w:val="24"/>
          <w:lang w:val="zh-CN"/>
        </w:rPr>
      </w:pPr>
      <w:r>
        <w:rPr>
          <w:rFonts w:hint="eastAsia" w:ascii="宋体" w:hAnsi="宋体" w:eastAsia="宋体" w:cs="宋体"/>
          <w:color w:val="auto"/>
          <w:sz w:val="24"/>
          <w:lang w:val="zh-CN"/>
        </w:rPr>
        <w:t>流程安排：考生进入网上候考场（提前</w:t>
      </w:r>
      <w:r>
        <w:rPr>
          <w:rFonts w:hint="eastAsia" w:ascii="宋体" w:hAnsi="宋体" w:eastAsia="宋体" w:cs="宋体"/>
          <w:color w:val="auto"/>
          <w:sz w:val="24"/>
          <w:lang w:val="en-US" w:eastAsia="zh-CN"/>
        </w:rPr>
        <w:t>15</w:t>
      </w:r>
      <w:r>
        <w:rPr>
          <w:rFonts w:hint="eastAsia" w:ascii="宋体" w:hAnsi="宋体" w:eastAsia="宋体" w:cs="宋体"/>
          <w:color w:val="auto"/>
          <w:sz w:val="24"/>
          <w:lang w:val="zh-CN"/>
        </w:rPr>
        <w:t>分钟）→侯考官宣读考试承诺书，协助考生检测复试设备以达到考核要求→考生同意考试承诺书→英语考官邀请考生进入网上考场→英语口语问答（自我介绍不超过1分钟，简短对话3-5分钟）→问答完毕后英语</w:t>
      </w:r>
      <w:r>
        <w:rPr>
          <w:rFonts w:hint="eastAsia" w:ascii="宋体" w:hAnsi="宋体" w:eastAsia="宋体" w:cs="宋体"/>
          <w:sz w:val="24"/>
          <w:lang w:val="zh-CN"/>
        </w:rPr>
        <w:t>考官将考生移至等候室→所有考生复试完毕→</w:t>
      </w:r>
      <w:r>
        <w:rPr>
          <w:rFonts w:hint="eastAsia" w:ascii="宋体" w:hAnsi="宋体" w:eastAsia="宋体" w:cs="宋体"/>
          <w:color w:val="auto"/>
          <w:sz w:val="24"/>
          <w:lang w:val="zh-CN"/>
        </w:rPr>
        <w:t>考生英语听力与口语测试结束</w:t>
      </w:r>
      <w:r>
        <w:rPr>
          <w:rFonts w:hint="eastAsia" w:ascii="宋体" w:hAnsi="宋体" w:eastAsia="宋体" w:cs="宋体"/>
          <w:sz w:val="24"/>
          <w:lang w:val="zh-CN"/>
        </w:rPr>
        <w:t>。</w:t>
      </w:r>
    </w:p>
    <w:p>
      <w:pPr>
        <w:keepNext w:val="0"/>
        <w:keepLines w:val="0"/>
        <w:pageBreakBefore w:val="0"/>
        <w:widowControl w:val="0"/>
        <w:kinsoku/>
        <w:wordWrap/>
        <w:overflowPunct/>
        <w:topLinePunct w:val="0"/>
        <w:bidi w:val="0"/>
        <w:adjustRightInd w:val="0"/>
        <w:snapToGrid w:val="0"/>
        <w:spacing w:line="336" w:lineRule="auto"/>
        <w:ind w:right="0" w:rightChars="0" w:firstLine="241" w:firstLineChars="100"/>
        <w:textAlignment w:val="auto"/>
        <w:rPr>
          <w:rFonts w:hint="eastAsia" w:ascii="宋体" w:hAnsi="宋体" w:eastAsia="宋体" w:cs="宋体"/>
          <w:color w:val="auto"/>
          <w:sz w:val="24"/>
          <w:lang w:val="zh-CN"/>
        </w:rPr>
      </w:pPr>
      <w:r>
        <w:rPr>
          <w:rFonts w:hint="eastAsia" w:ascii="宋体" w:hAnsi="宋体" w:eastAsia="宋体" w:cs="宋体"/>
          <w:b/>
          <w:color w:val="auto"/>
          <w:sz w:val="24"/>
          <w:szCs w:val="24"/>
          <w:lang w:val="zh-CN"/>
        </w:rPr>
        <w:t>（五）网络专业</w:t>
      </w:r>
      <w:r>
        <w:rPr>
          <w:rFonts w:hint="eastAsia" w:ascii="宋体" w:hAnsi="宋体" w:eastAsia="宋体" w:cs="宋体"/>
          <w:b/>
          <w:color w:val="auto"/>
          <w:sz w:val="24"/>
          <w:szCs w:val="24"/>
          <w:lang w:val="zh-CN" w:eastAsia="zh-CN"/>
        </w:rPr>
        <w:t>面试（</w:t>
      </w:r>
      <w:r>
        <w:rPr>
          <w:rFonts w:hint="eastAsia" w:ascii="宋体" w:hAnsi="宋体" w:eastAsia="宋体" w:cs="宋体"/>
          <w:b/>
          <w:color w:val="auto"/>
          <w:sz w:val="24"/>
          <w:szCs w:val="24"/>
          <w:lang w:val="zh-CN"/>
        </w:rPr>
        <w:t>综合素质能力考察</w:t>
      </w:r>
      <w:r>
        <w:rPr>
          <w:rFonts w:hint="eastAsia" w:ascii="宋体" w:hAnsi="宋体" w:eastAsia="宋体" w:cs="宋体"/>
          <w:b/>
          <w:color w:val="auto"/>
          <w:sz w:val="24"/>
          <w:szCs w:val="24"/>
          <w:lang w:val="zh-CN" w:eastAsia="zh-CN"/>
        </w:rPr>
        <w:t>）</w:t>
      </w:r>
    </w:p>
    <w:p>
      <w:pPr>
        <w:keepNext w:val="0"/>
        <w:keepLines w:val="0"/>
        <w:pageBreakBefore w:val="0"/>
        <w:widowControl w:val="0"/>
        <w:kinsoku/>
        <w:wordWrap/>
        <w:overflowPunct/>
        <w:topLinePunct w:val="0"/>
        <w:bidi w:val="0"/>
        <w:snapToGrid w:val="0"/>
        <w:spacing w:line="336" w:lineRule="auto"/>
        <w:ind w:firstLine="480" w:firstLineChars="200"/>
        <w:textAlignment w:val="auto"/>
        <w:rPr>
          <w:rFonts w:hint="eastAsia" w:ascii="宋体" w:hAnsi="宋体" w:eastAsia="宋体" w:cs="宋体"/>
          <w:color w:val="auto"/>
          <w:sz w:val="24"/>
          <w:lang w:val="zh-CN"/>
        </w:rPr>
      </w:pPr>
      <w:r>
        <w:rPr>
          <w:rFonts w:hint="eastAsia" w:ascii="宋体" w:hAnsi="宋体" w:eastAsia="宋体" w:cs="宋体"/>
          <w:color w:val="auto"/>
          <w:sz w:val="24"/>
          <w:lang w:val="zh-CN"/>
        </w:rPr>
        <w:t>时间：</w:t>
      </w: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日（周</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08:30</w:t>
      </w:r>
      <w:r>
        <w:rPr>
          <w:rFonts w:hint="eastAsia" w:ascii="宋体" w:hAnsi="宋体" w:eastAsia="宋体" w:cs="宋体"/>
          <w:color w:val="auto"/>
          <w:sz w:val="24"/>
          <w:lang w:val="zh-CN"/>
        </w:rPr>
        <w:t>开始</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firstLine="480" w:firstLineChars="20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平台：腾讯会议APP</w:t>
      </w:r>
    </w:p>
    <w:p>
      <w:pPr>
        <w:keepNext w:val="0"/>
        <w:keepLines w:val="0"/>
        <w:pageBreakBefore w:val="0"/>
        <w:widowControl w:val="0"/>
        <w:kinsoku/>
        <w:wordWrap/>
        <w:overflowPunct/>
        <w:topLinePunct w:val="0"/>
        <w:bidi w:val="0"/>
        <w:snapToGrid w:val="0"/>
        <w:spacing w:line="336" w:lineRule="auto"/>
        <w:ind w:firstLine="480" w:firstLineChars="200"/>
        <w:textAlignment w:val="auto"/>
        <w:rPr>
          <w:rFonts w:hint="eastAsia" w:ascii="宋体" w:hAnsi="宋体" w:eastAsia="宋体" w:cs="宋体"/>
          <w:color w:val="auto"/>
          <w:sz w:val="24"/>
          <w:lang w:val="zh-CN"/>
        </w:rPr>
      </w:pPr>
      <w:r>
        <w:rPr>
          <w:rFonts w:hint="eastAsia" w:ascii="宋体" w:hAnsi="宋体" w:eastAsia="宋体" w:cs="宋体"/>
          <w:color w:val="auto"/>
          <w:sz w:val="24"/>
          <w:lang w:val="zh-CN"/>
        </w:rPr>
        <w:t>流程安排：考生进入网上候考场（提前</w:t>
      </w:r>
      <w:r>
        <w:rPr>
          <w:rFonts w:hint="eastAsia" w:ascii="宋体" w:hAnsi="宋体" w:eastAsia="宋体" w:cs="宋体"/>
          <w:color w:val="auto"/>
          <w:sz w:val="24"/>
          <w:lang w:val="en-US" w:eastAsia="zh-CN"/>
        </w:rPr>
        <w:t>20</w:t>
      </w:r>
      <w:r>
        <w:rPr>
          <w:rFonts w:hint="eastAsia" w:ascii="宋体" w:hAnsi="宋体" w:eastAsia="宋体" w:cs="宋体"/>
          <w:color w:val="auto"/>
          <w:sz w:val="24"/>
          <w:lang w:val="zh-CN"/>
        </w:rPr>
        <w:t>分钟）→侯考官宣读考试承诺书，协助考生检测复试设备以达到考核要求→考生同意考试承诺书→主考官邀请考生进入网上考场→考生进行中文自我介绍（不超过2分钟）→专业问答（3道问答题15分钟左右）→考生口述回答完毕→</w:t>
      </w:r>
      <w:r>
        <w:rPr>
          <w:rFonts w:hint="eastAsia" w:ascii="宋体" w:hAnsi="宋体" w:eastAsia="宋体" w:cs="宋体"/>
          <w:sz w:val="24"/>
          <w:lang w:val="zh-CN"/>
        </w:rPr>
        <w:t>主考官将考生移至等候室→所有考生复试完毕→复试结束。</w:t>
      </w:r>
    </w:p>
    <w:p>
      <w:pPr>
        <w:pStyle w:val="20"/>
        <w:keepNext w:val="0"/>
        <w:keepLines w:val="0"/>
        <w:pageBreakBefore w:val="0"/>
        <w:widowControl w:val="0"/>
        <w:kinsoku/>
        <w:wordWrap/>
        <w:overflowPunct/>
        <w:topLinePunct w:val="0"/>
        <w:bidi w:val="0"/>
        <w:adjustRightInd w:val="0"/>
        <w:snapToGrid w:val="0"/>
        <w:spacing w:line="336" w:lineRule="auto"/>
        <w:ind w:right="0" w:rightChars="0"/>
        <w:textAlignment w:val="auto"/>
        <w:rPr>
          <w:rFonts w:hint="eastAsia" w:ascii="宋体" w:hAnsi="宋体" w:eastAsia="宋体" w:cs="宋体"/>
          <w:b/>
          <w:color w:val="auto"/>
        </w:rPr>
      </w:pPr>
      <w:r>
        <w:rPr>
          <w:rFonts w:hint="eastAsia" w:ascii="宋体" w:hAnsi="宋体" w:eastAsia="宋体" w:cs="宋体"/>
          <w:b/>
          <w:color w:val="auto"/>
          <w:lang w:val="en-US" w:eastAsia="zh-CN"/>
        </w:rPr>
        <w:t>五</w:t>
      </w:r>
      <w:r>
        <w:rPr>
          <w:rFonts w:hint="eastAsia" w:ascii="宋体" w:hAnsi="宋体" w:eastAsia="宋体" w:cs="宋体"/>
          <w:b/>
          <w:color w:val="auto"/>
        </w:rPr>
        <w:t>、录取规则</w:t>
      </w:r>
    </w:p>
    <w:p>
      <w:pPr>
        <w:pStyle w:val="36"/>
        <w:keepNext w:val="0"/>
        <w:keepLines w:val="0"/>
        <w:pageBreakBefore w:val="0"/>
        <w:widowControl w:val="0"/>
        <w:kinsoku/>
        <w:wordWrap/>
        <w:overflowPunct/>
        <w:topLinePunct w:val="0"/>
        <w:bidi w:val="0"/>
        <w:adjustRightInd w:val="0"/>
        <w:snapToGrid w:val="0"/>
        <w:spacing w:line="336" w:lineRule="auto"/>
        <w:ind w:right="0" w:rightChars="0" w:firstLine="241" w:firstLineChars="100"/>
        <w:textAlignment w:val="auto"/>
        <w:rPr>
          <w:rFonts w:hint="eastAsia" w:ascii="宋体" w:hAnsi="宋体" w:eastAsia="宋体" w:cs="宋体"/>
          <w:b/>
          <w:color w:val="auto"/>
        </w:rPr>
      </w:pPr>
      <w:r>
        <w:rPr>
          <w:rFonts w:hint="eastAsia" w:ascii="宋体" w:hAnsi="宋体" w:eastAsia="宋体" w:cs="宋体"/>
          <w:b/>
          <w:color w:val="auto"/>
        </w:rPr>
        <w:t>（一）初、复试成绩权重</w:t>
      </w:r>
    </w:p>
    <w:p>
      <w:pPr>
        <w:pStyle w:val="34"/>
        <w:keepNext w:val="0"/>
        <w:keepLines w:val="0"/>
        <w:pageBreakBefore w:val="0"/>
        <w:widowControl w:val="0"/>
        <w:kinsoku/>
        <w:wordWrap/>
        <w:overflowPunct/>
        <w:topLinePunct w:val="0"/>
        <w:bidi w:val="0"/>
        <w:adjustRightInd w:val="0"/>
        <w:snapToGrid w:val="0"/>
        <w:spacing w:line="336" w:lineRule="auto"/>
        <w:ind w:right="0" w:rightChars="0" w:firstLine="560"/>
        <w:textAlignment w:val="auto"/>
        <w:outlineLvl w:val="9"/>
        <w:rPr>
          <w:rFonts w:hint="eastAsia" w:ascii="宋体" w:hAnsi="宋体" w:eastAsia="宋体" w:cs="宋体"/>
          <w:color w:val="auto"/>
        </w:rPr>
      </w:pPr>
      <w:r>
        <w:rPr>
          <w:rFonts w:hint="eastAsia" w:ascii="宋体" w:hAnsi="宋体" w:eastAsia="宋体" w:cs="宋体"/>
          <w:color w:val="auto"/>
        </w:rPr>
        <w:t>1.初试成绩占70%、复试成绩占30%。</w:t>
      </w:r>
    </w:p>
    <w:p>
      <w:pPr>
        <w:pStyle w:val="35"/>
        <w:keepNext w:val="0"/>
        <w:keepLines w:val="0"/>
        <w:pageBreakBefore w:val="0"/>
        <w:widowControl w:val="0"/>
        <w:kinsoku/>
        <w:wordWrap/>
        <w:overflowPunct/>
        <w:topLinePunct w:val="0"/>
        <w:bidi w:val="0"/>
        <w:adjustRightInd w:val="0"/>
        <w:snapToGrid w:val="0"/>
        <w:spacing w:line="336" w:lineRule="auto"/>
        <w:ind w:right="0" w:rightChars="0" w:firstLine="560"/>
        <w:textAlignment w:val="auto"/>
        <w:outlineLvl w:val="9"/>
        <w:rPr>
          <w:rFonts w:hint="eastAsia" w:ascii="宋体" w:hAnsi="宋体" w:eastAsia="宋体" w:cs="宋体"/>
          <w:color w:val="auto"/>
        </w:rPr>
      </w:pPr>
      <w:r>
        <w:rPr>
          <w:rFonts w:hint="eastAsia" w:ascii="宋体" w:hAnsi="宋体" w:eastAsia="宋体" w:cs="宋体"/>
          <w:color w:val="auto"/>
        </w:rPr>
        <w:t>2.复试成绩=外语成绩（听力</w:t>
      </w:r>
      <w:r>
        <w:rPr>
          <w:rFonts w:hint="eastAsia" w:ascii="宋体" w:hAnsi="宋体" w:eastAsia="宋体" w:cs="宋体"/>
          <w:color w:val="auto"/>
          <w:lang w:val="en-US" w:eastAsia="zh-CN"/>
        </w:rPr>
        <w:t>+</w:t>
      </w:r>
      <w:r>
        <w:rPr>
          <w:rFonts w:hint="eastAsia" w:ascii="宋体" w:hAnsi="宋体" w:eastAsia="宋体" w:cs="宋体"/>
          <w:color w:val="auto"/>
        </w:rPr>
        <w:t>口语，总分100）+专业课笔试成绩（总分100）+综合面试成绩（总分100）</w:t>
      </w:r>
    </w:p>
    <w:p>
      <w:pPr>
        <w:pStyle w:val="23"/>
        <w:keepNext w:val="0"/>
        <w:keepLines w:val="0"/>
        <w:pageBreakBefore w:val="0"/>
        <w:widowControl w:val="0"/>
        <w:kinsoku/>
        <w:wordWrap/>
        <w:overflowPunct/>
        <w:topLinePunct w:val="0"/>
        <w:bidi w:val="0"/>
        <w:adjustRightInd w:val="0"/>
        <w:snapToGrid w:val="0"/>
        <w:spacing w:line="336" w:lineRule="auto"/>
        <w:ind w:right="0" w:rightChars="0" w:firstLine="560"/>
        <w:textAlignment w:val="auto"/>
        <w:outlineLvl w:val="9"/>
        <w:rPr>
          <w:rFonts w:hint="eastAsia" w:ascii="宋体" w:hAnsi="宋体" w:eastAsia="宋体" w:cs="宋体"/>
          <w:color w:val="auto"/>
        </w:rPr>
      </w:pPr>
      <w:r>
        <w:rPr>
          <w:rFonts w:hint="eastAsia" w:ascii="宋体" w:hAnsi="宋体" w:eastAsia="宋体" w:cs="宋体"/>
          <w:color w:val="auto"/>
        </w:rPr>
        <w:t>3.最终成绩（百分制）＝（初试总成绩/5）×70%+专业课笔试成绩（总分100）×</w:t>
      </w:r>
      <w:r>
        <w:rPr>
          <w:rFonts w:hint="eastAsia" w:ascii="宋体" w:hAnsi="宋体" w:eastAsia="宋体" w:cs="宋体"/>
          <w:color w:val="auto"/>
          <w:lang w:val="en-US" w:eastAsia="zh-CN"/>
        </w:rPr>
        <w:t>10</w:t>
      </w:r>
      <w:r>
        <w:rPr>
          <w:rFonts w:hint="eastAsia" w:ascii="宋体" w:hAnsi="宋体" w:eastAsia="宋体" w:cs="宋体"/>
          <w:color w:val="auto"/>
        </w:rPr>
        <w:t>%+综合面试成绩（总分100）×</w:t>
      </w:r>
      <w:r>
        <w:rPr>
          <w:rFonts w:hint="eastAsia" w:ascii="宋体" w:hAnsi="宋体" w:eastAsia="宋体" w:cs="宋体"/>
          <w:color w:val="auto"/>
          <w:lang w:val="en-US" w:eastAsia="zh-CN"/>
        </w:rPr>
        <w:t>15</w:t>
      </w:r>
      <w:r>
        <w:rPr>
          <w:rFonts w:hint="eastAsia" w:ascii="宋体" w:hAnsi="宋体" w:eastAsia="宋体" w:cs="宋体"/>
          <w:color w:val="auto"/>
        </w:rPr>
        <w:t>%+外语成绩（总分100）×5%</w:t>
      </w:r>
    </w:p>
    <w:p>
      <w:pPr>
        <w:pStyle w:val="13"/>
        <w:keepNext w:val="0"/>
        <w:keepLines w:val="0"/>
        <w:pageBreakBefore w:val="0"/>
        <w:widowControl w:val="0"/>
        <w:numPr>
          <w:ilvl w:val="0"/>
          <w:numId w:val="0"/>
        </w:numPr>
        <w:kinsoku/>
        <w:wordWrap/>
        <w:overflowPunct/>
        <w:topLinePunct w:val="0"/>
        <w:bidi w:val="0"/>
        <w:adjustRightInd w:val="0"/>
        <w:snapToGrid w:val="0"/>
        <w:spacing w:line="336" w:lineRule="auto"/>
        <w:ind w:right="0" w:rightChars="0" w:firstLine="241" w:firstLineChars="100"/>
        <w:textAlignment w:val="auto"/>
        <w:outlineLvl w:val="9"/>
        <w:rPr>
          <w:rFonts w:hint="eastAsia" w:ascii="宋体" w:hAnsi="宋体" w:eastAsia="宋体" w:cs="宋体"/>
          <w:b/>
          <w:color w:val="auto"/>
          <w:lang w:eastAsia="zh-CN"/>
        </w:rPr>
      </w:pPr>
      <w:r>
        <w:rPr>
          <w:rFonts w:hint="eastAsia" w:ascii="宋体" w:hAnsi="宋体" w:eastAsia="宋体" w:cs="宋体"/>
          <w:b/>
          <w:color w:val="auto"/>
        </w:rPr>
        <w:t>（</w:t>
      </w:r>
      <w:r>
        <w:rPr>
          <w:rFonts w:hint="eastAsia" w:ascii="宋体" w:hAnsi="宋体" w:eastAsia="宋体" w:cs="宋体"/>
          <w:b/>
          <w:color w:val="auto"/>
          <w:lang w:val="en-US" w:eastAsia="zh-CN"/>
        </w:rPr>
        <w:t>二</w:t>
      </w:r>
      <w:r>
        <w:rPr>
          <w:rFonts w:hint="eastAsia" w:ascii="宋体" w:hAnsi="宋体" w:eastAsia="宋体" w:cs="宋体"/>
          <w:b/>
          <w:color w:val="auto"/>
        </w:rPr>
        <w:t>）</w:t>
      </w:r>
      <w:r>
        <w:rPr>
          <w:rFonts w:hint="eastAsia" w:ascii="宋体" w:hAnsi="宋体" w:eastAsia="宋体" w:cs="宋体"/>
          <w:b/>
          <w:color w:val="auto"/>
          <w:lang w:eastAsia="zh-CN"/>
        </w:rPr>
        <w:t>录取原则</w:t>
      </w:r>
    </w:p>
    <w:p>
      <w:pPr>
        <w:pStyle w:val="13"/>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outlineLvl w:val="9"/>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复试成绩180分为合格线，低于180分为不合格，则不予录取。如没有完整参加各个环节的复试，则视为复试不合格，不予录取。</w:t>
      </w:r>
    </w:p>
    <w:p>
      <w:pPr>
        <w:pStyle w:val="13"/>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outlineLvl w:val="9"/>
        <w:rPr>
          <w:rFonts w:hint="eastAsia" w:ascii="宋体" w:hAnsi="宋体" w:eastAsia="宋体" w:cs="宋体"/>
          <w:color w:val="auto"/>
        </w:rPr>
      </w:pPr>
      <w:r>
        <w:rPr>
          <w:rFonts w:hint="eastAsia" w:ascii="宋体" w:hAnsi="宋体" w:eastAsia="宋体" w:cs="宋体"/>
          <w:color w:val="auto"/>
          <w:lang w:val="en-US" w:eastAsia="zh-CN"/>
        </w:rPr>
        <w:t>2.</w:t>
      </w:r>
      <w:r>
        <w:rPr>
          <w:rFonts w:hint="eastAsia" w:ascii="宋体" w:hAnsi="宋体" w:eastAsia="宋体" w:cs="宋体"/>
          <w:color w:val="auto"/>
        </w:rPr>
        <w:t>思想政治素质和品德考核及体检不作量化计入总成绩，但考核结果</w:t>
      </w:r>
      <w:r>
        <w:rPr>
          <w:rFonts w:hint="eastAsia" w:ascii="宋体" w:hAnsi="宋体" w:eastAsia="宋体" w:cs="宋体"/>
          <w:color w:val="auto"/>
          <w:lang w:eastAsia="zh-CN"/>
        </w:rPr>
        <w:t>和体检</w:t>
      </w:r>
      <w:r>
        <w:rPr>
          <w:rFonts w:hint="eastAsia" w:ascii="宋体" w:hAnsi="宋体" w:eastAsia="宋体" w:cs="宋体"/>
          <w:color w:val="auto"/>
        </w:rPr>
        <w:t>不合格者不予录取。</w:t>
      </w:r>
    </w:p>
    <w:p>
      <w:pPr>
        <w:pStyle w:val="13"/>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3.学院招生领导小组根据分专业计划，按照考生复试最终成绩名次集体研究确定拟录取建议名单，校研究生招生领导小组会议讨论确定拟录取名单。</w:t>
      </w:r>
    </w:p>
    <w:p>
      <w:pPr>
        <w:pStyle w:val="13"/>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outlineLvl w:val="9"/>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lang w:val="en-US" w:eastAsia="zh-CN"/>
        </w:rPr>
        <w:t>复试合格考生均具有待录取资格，如遇本学科拟录取考生放弃，在对应批次复试合格考生中按最终成绩高低顺延拟录取。</w:t>
      </w:r>
    </w:p>
    <w:p>
      <w:pPr>
        <w:pStyle w:val="13"/>
        <w:keepNext w:val="0"/>
        <w:keepLines w:val="0"/>
        <w:pageBreakBefore w:val="0"/>
        <w:widowControl w:val="0"/>
        <w:kinsoku/>
        <w:wordWrap/>
        <w:overflowPunct/>
        <w:topLinePunct w:val="0"/>
        <w:bidi w:val="0"/>
        <w:adjustRightInd w:val="0"/>
        <w:snapToGrid w:val="0"/>
        <w:spacing w:line="336" w:lineRule="auto"/>
        <w:ind w:right="0" w:rightChars="0" w:firstLine="480" w:firstLineChars="200"/>
        <w:textAlignment w:val="auto"/>
        <w:outlineLvl w:val="9"/>
        <w:rPr>
          <w:rFonts w:hint="eastAsia" w:ascii="宋体" w:hAnsi="宋体" w:eastAsia="宋体" w:cs="宋体"/>
          <w:color w:val="auto"/>
          <w:lang w:eastAsia="zh-CN"/>
        </w:rPr>
      </w:pPr>
      <w:r>
        <w:rPr>
          <w:rFonts w:hint="eastAsia" w:ascii="宋体" w:hAnsi="宋体" w:eastAsia="宋体" w:cs="宋体"/>
          <w:color w:val="auto"/>
          <w:lang w:val="en-US" w:eastAsia="zh-CN"/>
        </w:rPr>
        <w:t>5.考生凡有违纪舞弊行为的，一经查实一律不予录取。</w:t>
      </w:r>
    </w:p>
    <w:p>
      <w:pPr>
        <w:pStyle w:val="20"/>
        <w:keepNext w:val="0"/>
        <w:keepLines w:val="0"/>
        <w:pageBreakBefore w:val="0"/>
        <w:widowControl w:val="0"/>
        <w:kinsoku/>
        <w:wordWrap/>
        <w:overflowPunct/>
        <w:topLinePunct w:val="0"/>
        <w:bidi w:val="0"/>
        <w:adjustRightInd w:val="0"/>
        <w:snapToGrid w:val="0"/>
        <w:spacing w:line="336" w:lineRule="auto"/>
        <w:ind w:left="0" w:right="0" w:rightChars="0"/>
        <w:textAlignment w:val="auto"/>
        <w:outlineLvl w:val="9"/>
        <w:rPr>
          <w:rFonts w:hint="eastAsia" w:ascii="宋体" w:hAnsi="宋体" w:eastAsia="宋体" w:cs="宋体"/>
          <w:b/>
          <w:color w:val="auto"/>
          <w:lang w:eastAsia="zh-CN"/>
        </w:rPr>
      </w:pPr>
      <w:r>
        <w:rPr>
          <w:rFonts w:hint="eastAsia" w:ascii="宋体" w:hAnsi="宋体" w:eastAsia="宋体" w:cs="宋体"/>
          <w:b/>
          <w:color w:val="auto"/>
          <w:lang w:eastAsia="zh-CN"/>
        </w:rPr>
        <w:t>六、体检</w:t>
      </w:r>
    </w:p>
    <w:p>
      <w:pPr>
        <w:pStyle w:val="3"/>
        <w:keepNext w:val="0"/>
        <w:keepLines w:val="0"/>
        <w:pageBreakBefore w:val="0"/>
        <w:widowControl w:val="0"/>
        <w:kinsoku/>
        <w:wordWrap/>
        <w:overflowPunct/>
        <w:topLinePunct w:val="0"/>
        <w:bidi w:val="0"/>
        <w:adjustRightInd w:val="0"/>
        <w:snapToGrid w:val="0"/>
        <w:spacing w:line="336" w:lineRule="auto"/>
        <w:ind w:left="0" w:right="0" w:rightChars="0" w:firstLine="480" w:firstLineChars="200"/>
        <w:textAlignment w:val="auto"/>
        <w:outlineLvl w:val="9"/>
        <w:rPr>
          <w:rFonts w:hint="eastAsia" w:ascii="宋体" w:hAnsi="宋体" w:eastAsia="宋体" w:cs="宋体"/>
          <w:color w:val="auto"/>
        </w:rPr>
      </w:pPr>
      <w:r>
        <w:rPr>
          <w:rFonts w:hint="eastAsia" w:ascii="宋体" w:hAnsi="宋体" w:eastAsia="宋体" w:cs="宋体"/>
          <w:color w:val="auto"/>
          <w:sz w:val="24"/>
          <w:szCs w:val="24"/>
          <w:lang w:val="en-US" w:eastAsia="zh-CN" w:bidi="ar-SA"/>
        </w:rPr>
        <w:t>考生体检标准参照教育部、卫生部、中国残联制定的《普通高等学校招生体检工作指导意见》体检标准（教学〔2003〕3号）执行。体检由考生自行前往符合相关规定医院进行体检，并将体检结果扫描成电子档后在规定时间发送至研招办邮箱yzb10541@126.com。</w:t>
      </w:r>
    </w:p>
    <w:p>
      <w:pPr>
        <w:pStyle w:val="20"/>
        <w:keepNext w:val="0"/>
        <w:keepLines w:val="0"/>
        <w:pageBreakBefore w:val="0"/>
        <w:widowControl w:val="0"/>
        <w:kinsoku/>
        <w:wordWrap/>
        <w:overflowPunct/>
        <w:topLinePunct w:val="0"/>
        <w:bidi w:val="0"/>
        <w:adjustRightInd w:val="0"/>
        <w:snapToGrid w:val="0"/>
        <w:spacing w:line="336" w:lineRule="auto"/>
        <w:ind w:left="0" w:right="0" w:rightChars="0"/>
        <w:textAlignment w:val="auto"/>
        <w:rPr>
          <w:rFonts w:hint="eastAsia" w:ascii="宋体" w:hAnsi="宋体" w:eastAsia="宋体" w:cs="宋体"/>
          <w:b/>
          <w:color w:val="auto"/>
        </w:rPr>
      </w:pPr>
      <w:r>
        <w:rPr>
          <w:rFonts w:hint="eastAsia" w:ascii="宋体" w:hAnsi="宋体" w:eastAsia="宋体" w:cs="宋体"/>
          <w:b/>
          <w:color w:val="auto"/>
          <w:lang w:eastAsia="zh-CN"/>
        </w:rPr>
        <w:t>七、信息公开</w:t>
      </w:r>
    </w:p>
    <w:p>
      <w:pPr>
        <w:pStyle w:val="3"/>
        <w:keepNext w:val="0"/>
        <w:keepLines w:val="0"/>
        <w:pageBreakBefore w:val="0"/>
        <w:widowControl w:val="0"/>
        <w:kinsoku/>
        <w:wordWrap/>
        <w:overflowPunct/>
        <w:topLinePunct w:val="0"/>
        <w:bidi w:val="0"/>
        <w:adjustRightInd w:val="0"/>
        <w:snapToGrid w:val="0"/>
        <w:spacing w:line="336" w:lineRule="auto"/>
        <w:ind w:left="0" w:right="0" w:rightChars="0" w:firstLine="480" w:firstLineChars="200"/>
        <w:textAlignment w:val="auto"/>
        <w:outlineLvl w:val="9"/>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1.学校研究生院招生办在复试结束后三天内，通过研究生院主页对拟录取考生名单公示10个工作日。期间如有变动，在对变动部分做出说明后另行公示10个工作日。</w:t>
      </w:r>
    </w:p>
    <w:p>
      <w:pPr>
        <w:pStyle w:val="3"/>
        <w:keepNext w:val="0"/>
        <w:keepLines w:val="0"/>
        <w:pageBreakBefore w:val="0"/>
        <w:widowControl w:val="0"/>
        <w:kinsoku/>
        <w:wordWrap/>
        <w:overflowPunct/>
        <w:topLinePunct w:val="0"/>
        <w:bidi w:val="0"/>
        <w:adjustRightInd w:val="0"/>
        <w:snapToGrid w:val="0"/>
        <w:spacing w:line="336" w:lineRule="auto"/>
        <w:ind w:left="0" w:right="0" w:rightChars="0" w:firstLine="480" w:firstLineChars="200"/>
        <w:textAlignment w:val="auto"/>
        <w:outlineLvl w:val="9"/>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2.研究生院发布公示后，我院按要求公布所有参加该学院复试考生名单及成绩。网址：http://www.hnzyfy.com/</w:t>
      </w:r>
    </w:p>
    <w:p>
      <w:pPr>
        <w:pStyle w:val="3"/>
        <w:keepNext w:val="0"/>
        <w:keepLines w:val="0"/>
        <w:pageBreakBefore w:val="0"/>
        <w:widowControl w:val="0"/>
        <w:kinsoku/>
        <w:wordWrap/>
        <w:overflowPunct/>
        <w:topLinePunct w:val="0"/>
        <w:bidi w:val="0"/>
        <w:adjustRightInd w:val="0"/>
        <w:snapToGrid w:val="0"/>
        <w:spacing w:line="336" w:lineRule="auto"/>
        <w:ind w:left="0" w:right="0" w:rightChars="0" w:firstLine="480" w:firstLineChars="200"/>
        <w:textAlignment w:val="auto"/>
        <w:outlineLvl w:val="9"/>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3.如果发现在复试录取中有违法乱纪行为，可到我校纪检监察部门投诉，举报电话：0731-88458097；或登录湖南中医药大学纪委监察室网页，点击首页上举报栏进入在线举报（http://jjjc.hnctcm.edu.cn/list.php?cid=17），或到我院纪委监察科投诉，举报电话：0731-85600365。</w:t>
      </w:r>
    </w:p>
    <w:p>
      <w:pPr>
        <w:pStyle w:val="13"/>
        <w:keepNext w:val="0"/>
        <w:keepLines w:val="0"/>
        <w:pageBreakBefore w:val="0"/>
        <w:kinsoku/>
        <w:wordWrap/>
        <w:overflowPunct/>
        <w:topLinePunct w:val="0"/>
        <w:bidi w:val="0"/>
        <w:adjustRightInd w:val="0"/>
        <w:snapToGrid w:val="0"/>
        <w:spacing w:line="336" w:lineRule="auto"/>
        <w:ind w:right="0" w:rightChars="0"/>
        <w:textAlignment w:val="auto"/>
        <w:rPr>
          <w:rFonts w:asciiTheme="majorEastAsia" w:hAnsiTheme="majorEastAsia" w:eastAsiaTheme="majorEastAsia" w:cstheme="minorBidi"/>
          <w:b/>
          <w:bCs/>
          <w:color w:val="auto"/>
        </w:rPr>
      </w:pPr>
    </w:p>
    <w:p>
      <w:pPr>
        <w:pStyle w:val="13"/>
        <w:keepNext w:val="0"/>
        <w:keepLines w:val="0"/>
        <w:pageBreakBefore w:val="0"/>
        <w:kinsoku/>
        <w:wordWrap/>
        <w:overflowPunct/>
        <w:topLinePunct w:val="0"/>
        <w:bidi w:val="0"/>
        <w:adjustRightInd w:val="0"/>
        <w:snapToGrid w:val="0"/>
        <w:spacing w:line="336" w:lineRule="auto"/>
        <w:ind w:right="0" w:rightChars="0"/>
        <w:textAlignment w:val="auto"/>
        <w:rPr>
          <w:rFonts w:asciiTheme="majorEastAsia" w:hAnsiTheme="majorEastAsia" w:eastAsiaTheme="majorEastAsia" w:cstheme="minorBidi"/>
          <w:b/>
          <w:bCs/>
          <w:color w:val="auto"/>
        </w:rPr>
      </w:pPr>
      <w:r>
        <w:rPr>
          <w:rFonts w:hint="eastAsia" w:asciiTheme="majorEastAsia" w:hAnsiTheme="majorEastAsia" w:eastAsiaTheme="majorEastAsia" w:cstheme="minorBidi"/>
          <w:b/>
          <w:bCs/>
          <w:color w:val="auto"/>
        </w:rPr>
        <w:t xml:space="preserve">复试咨询电话：0731-85600712 </w:t>
      </w:r>
      <w:r>
        <w:rPr>
          <w:rFonts w:hint="eastAsia" w:asciiTheme="majorEastAsia" w:hAnsiTheme="majorEastAsia" w:eastAsiaTheme="majorEastAsia" w:cstheme="minorBidi"/>
          <w:b/>
          <w:bCs/>
          <w:color w:val="auto"/>
          <w:lang w:val="en-US" w:eastAsia="zh-CN"/>
        </w:rPr>
        <w:t xml:space="preserve"> </w:t>
      </w:r>
      <w:r>
        <w:rPr>
          <w:rFonts w:hint="eastAsia" w:asciiTheme="majorEastAsia" w:hAnsiTheme="majorEastAsia" w:eastAsiaTheme="majorEastAsia" w:cstheme="minorBidi"/>
          <w:b/>
          <w:bCs/>
          <w:color w:val="auto"/>
        </w:rPr>
        <w:t xml:space="preserve"> </w:t>
      </w:r>
      <w:r>
        <w:rPr>
          <w:rFonts w:hint="eastAsia" w:asciiTheme="majorEastAsia" w:hAnsiTheme="majorEastAsia" w:eastAsiaTheme="majorEastAsia" w:cstheme="minorBidi"/>
          <w:b/>
          <w:bCs/>
          <w:color w:val="auto"/>
          <w:lang w:val="en-US" w:eastAsia="zh-CN"/>
        </w:rPr>
        <w:t xml:space="preserve"> </w:t>
      </w:r>
      <w:r>
        <w:rPr>
          <w:rFonts w:hint="eastAsia" w:asciiTheme="majorEastAsia" w:hAnsiTheme="majorEastAsia" w:eastAsiaTheme="majorEastAsia" w:cstheme="minorBidi"/>
          <w:b/>
          <w:bCs/>
          <w:color w:val="auto"/>
        </w:rPr>
        <w:t>联系人：肖老师   张老师</w:t>
      </w:r>
    </w:p>
    <w:p>
      <w:pPr>
        <w:pStyle w:val="13"/>
        <w:snapToGrid w:val="0"/>
        <w:spacing w:line="312" w:lineRule="auto"/>
        <w:rPr>
          <w:rFonts w:hint="default" w:ascii="宋体" w:hAnsi="宋体" w:eastAsia="宋体" w:cs="宋体"/>
          <w:b/>
          <w:bCs/>
          <w:color w:val="FF0000"/>
          <w:lang w:val="en-US" w:eastAsia="zh-CN"/>
        </w:rPr>
      </w:pPr>
      <w:r>
        <w:rPr>
          <w:rFonts w:hint="eastAsia" w:ascii="宋体" w:hAnsi="宋体" w:eastAsia="宋体" w:cs="宋体"/>
          <w:b/>
          <w:bCs/>
          <w:color w:val="FF0000"/>
          <w:lang w:eastAsia="zh-CN"/>
        </w:rPr>
        <w:t>调剂复试</w:t>
      </w:r>
      <w:r>
        <w:rPr>
          <w:rFonts w:hint="eastAsia" w:ascii="宋体" w:hAnsi="宋体" w:eastAsia="宋体" w:cs="宋体"/>
          <w:b/>
          <w:bCs/>
          <w:color w:val="FF0000"/>
          <w:lang w:val="en-US" w:eastAsia="zh-CN"/>
        </w:rPr>
        <w:t>QQ群：101447720</w:t>
      </w:r>
    </w:p>
    <w:p>
      <w:pPr>
        <w:pStyle w:val="13"/>
        <w:snapToGrid w:val="0"/>
        <w:spacing w:line="312" w:lineRule="auto"/>
        <w:rPr>
          <w:rFonts w:ascii="宋体" w:hAnsi="宋体" w:eastAsia="宋体" w:cs="宋体"/>
          <w:b/>
          <w:bCs/>
          <w:color w:val="FF0000"/>
        </w:rPr>
      </w:pPr>
    </w:p>
    <w:p>
      <w:pPr>
        <w:pStyle w:val="13"/>
        <w:snapToGrid w:val="0"/>
        <w:spacing w:line="312" w:lineRule="auto"/>
        <w:jc w:val="right"/>
        <w:rPr>
          <w:rFonts w:ascii="宋体" w:hAnsi="宋体" w:eastAsia="宋体" w:cs="宋体"/>
          <w:b/>
          <w:bCs/>
          <w:color w:val="auto"/>
          <w:sz w:val="32"/>
        </w:rPr>
      </w:pPr>
      <w:r>
        <w:rPr>
          <w:rFonts w:hint="eastAsia" w:ascii="宋体" w:hAnsi="宋体" w:eastAsia="宋体" w:cs="宋体"/>
          <w:b/>
          <w:bCs/>
          <w:color w:val="auto"/>
          <w:sz w:val="32"/>
        </w:rPr>
        <w:t>第一</w:t>
      </w:r>
      <w:r>
        <w:rPr>
          <w:rFonts w:hint="eastAsia" w:ascii="宋体" w:hAnsi="宋体" w:eastAsia="宋体" w:cs="宋体"/>
          <w:b/>
          <w:bCs/>
          <w:color w:val="auto"/>
          <w:sz w:val="32"/>
          <w:lang w:eastAsia="zh-CN"/>
        </w:rPr>
        <w:t>附属医院</w:t>
      </w:r>
    </w:p>
    <w:p>
      <w:pPr>
        <w:pStyle w:val="13"/>
        <w:wordWrap w:val="0"/>
        <w:snapToGrid w:val="0"/>
        <w:spacing w:line="312" w:lineRule="auto"/>
        <w:jc w:val="right"/>
        <w:rPr>
          <w:rFonts w:ascii="宋体" w:hAnsi="宋体" w:eastAsia="宋体" w:cs="宋体"/>
          <w:color w:val="FF0000"/>
        </w:rPr>
      </w:pPr>
      <w:r>
        <w:rPr>
          <w:rFonts w:hint="eastAsia" w:ascii="宋体" w:hAnsi="宋体" w:eastAsia="宋体" w:cs="宋体"/>
          <w:b/>
          <w:bCs/>
          <w:color w:val="auto"/>
          <w:sz w:val="32"/>
        </w:rPr>
        <w:t>202</w:t>
      </w:r>
      <w:r>
        <w:rPr>
          <w:rFonts w:hint="eastAsia" w:ascii="宋体" w:hAnsi="宋体" w:eastAsia="宋体" w:cs="宋体"/>
          <w:b/>
          <w:bCs/>
          <w:color w:val="auto"/>
          <w:sz w:val="32"/>
          <w:lang w:val="en-US" w:eastAsia="zh-CN"/>
        </w:rPr>
        <w:t>2</w:t>
      </w:r>
      <w:r>
        <w:rPr>
          <w:rFonts w:hint="eastAsia" w:ascii="宋体" w:hAnsi="宋体" w:eastAsia="宋体" w:cs="宋体"/>
          <w:b/>
          <w:bCs/>
          <w:color w:val="auto"/>
          <w:sz w:val="32"/>
        </w:rPr>
        <w:t>年</w:t>
      </w:r>
      <w:r>
        <w:rPr>
          <w:rFonts w:hint="eastAsia" w:ascii="宋体" w:hAnsi="宋体" w:eastAsia="宋体" w:cs="宋体"/>
          <w:b/>
          <w:bCs/>
          <w:color w:val="auto"/>
          <w:sz w:val="32"/>
          <w:lang w:val="en-US" w:eastAsia="zh-CN"/>
        </w:rPr>
        <w:t>4</w:t>
      </w:r>
      <w:r>
        <w:rPr>
          <w:rFonts w:hint="eastAsia" w:ascii="宋体" w:hAnsi="宋体" w:eastAsia="宋体" w:cs="宋体"/>
          <w:b/>
          <w:bCs/>
          <w:color w:val="auto"/>
          <w:sz w:val="32"/>
        </w:rPr>
        <w:t>月</w:t>
      </w:r>
      <w:r>
        <w:rPr>
          <w:rFonts w:hint="eastAsia" w:ascii="宋体" w:hAnsi="宋体" w:eastAsia="宋体" w:cs="宋体"/>
          <w:b/>
          <w:bCs/>
          <w:color w:val="auto"/>
          <w:sz w:val="32"/>
          <w:lang w:val="en-US" w:eastAsia="zh-CN"/>
        </w:rPr>
        <w:t>7</w:t>
      </w:r>
      <w:r>
        <w:rPr>
          <w:rFonts w:hint="eastAsia" w:ascii="宋体" w:hAnsi="宋体" w:eastAsia="宋体" w:cs="宋体"/>
          <w:b/>
          <w:bCs/>
          <w:color w:val="auto"/>
          <w:sz w:val="32"/>
        </w:rPr>
        <w:t>日</w:t>
      </w:r>
    </w:p>
    <w:sectPr>
      <w:headerReference r:id="rId3" w:type="default"/>
      <w:footerReference r:id="rId4" w:type="default"/>
      <w:pgSz w:w="11907" w:h="16840"/>
      <w:pgMar w:top="1134" w:right="919" w:bottom="1134" w:left="907"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3CE9AD"/>
    <w:multiLevelType w:val="singleLevel"/>
    <w:tmpl w:val="5C3CE9A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52"/>
    <w:rsid w:val="00076C7B"/>
    <w:rsid w:val="00085230"/>
    <w:rsid w:val="00087C22"/>
    <w:rsid w:val="00096AC5"/>
    <w:rsid w:val="000C73A8"/>
    <w:rsid w:val="00103307"/>
    <w:rsid w:val="0011402A"/>
    <w:rsid w:val="00124040"/>
    <w:rsid w:val="001706E7"/>
    <w:rsid w:val="00172EE2"/>
    <w:rsid w:val="0019160B"/>
    <w:rsid w:val="001B6A2E"/>
    <w:rsid w:val="001B70F6"/>
    <w:rsid w:val="001C0BCD"/>
    <w:rsid w:val="001D24EE"/>
    <w:rsid w:val="0020578F"/>
    <w:rsid w:val="00207CC5"/>
    <w:rsid w:val="00213656"/>
    <w:rsid w:val="0021613A"/>
    <w:rsid w:val="00263C80"/>
    <w:rsid w:val="002759E8"/>
    <w:rsid w:val="002E01E3"/>
    <w:rsid w:val="002E6665"/>
    <w:rsid w:val="002E6F3C"/>
    <w:rsid w:val="00315FFE"/>
    <w:rsid w:val="003276C2"/>
    <w:rsid w:val="00337F1D"/>
    <w:rsid w:val="0037448D"/>
    <w:rsid w:val="003A7F1D"/>
    <w:rsid w:val="003B1123"/>
    <w:rsid w:val="003F5265"/>
    <w:rsid w:val="0040286A"/>
    <w:rsid w:val="004037FE"/>
    <w:rsid w:val="0042048A"/>
    <w:rsid w:val="00421E75"/>
    <w:rsid w:val="00476E4D"/>
    <w:rsid w:val="0048575B"/>
    <w:rsid w:val="004E370C"/>
    <w:rsid w:val="004E7D11"/>
    <w:rsid w:val="0054783A"/>
    <w:rsid w:val="005F7201"/>
    <w:rsid w:val="0060051E"/>
    <w:rsid w:val="00694890"/>
    <w:rsid w:val="00720052"/>
    <w:rsid w:val="00727382"/>
    <w:rsid w:val="00735CD1"/>
    <w:rsid w:val="0076665F"/>
    <w:rsid w:val="007D0998"/>
    <w:rsid w:val="00821D4A"/>
    <w:rsid w:val="008357D7"/>
    <w:rsid w:val="008770F3"/>
    <w:rsid w:val="0089324F"/>
    <w:rsid w:val="00926319"/>
    <w:rsid w:val="00936708"/>
    <w:rsid w:val="009F2EC9"/>
    <w:rsid w:val="00A23FEC"/>
    <w:rsid w:val="00A6386E"/>
    <w:rsid w:val="00A971B5"/>
    <w:rsid w:val="00AA3A95"/>
    <w:rsid w:val="00B230F1"/>
    <w:rsid w:val="00B93379"/>
    <w:rsid w:val="00BB5F9B"/>
    <w:rsid w:val="00C14F9D"/>
    <w:rsid w:val="00C2699C"/>
    <w:rsid w:val="00C92959"/>
    <w:rsid w:val="00CD2F87"/>
    <w:rsid w:val="00CF4EF6"/>
    <w:rsid w:val="00DB2B88"/>
    <w:rsid w:val="00DF15D9"/>
    <w:rsid w:val="00E00775"/>
    <w:rsid w:val="00E210EA"/>
    <w:rsid w:val="00E440BF"/>
    <w:rsid w:val="00EB0C7B"/>
    <w:rsid w:val="00EF220A"/>
    <w:rsid w:val="00F15A51"/>
    <w:rsid w:val="00FA1367"/>
    <w:rsid w:val="00FE04F7"/>
    <w:rsid w:val="011748AF"/>
    <w:rsid w:val="066D5F21"/>
    <w:rsid w:val="14A64B15"/>
    <w:rsid w:val="1B0F4D7F"/>
    <w:rsid w:val="1FFD53B5"/>
    <w:rsid w:val="24763BA2"/>
    <w:rsid w:val="261209A7"/>
    <w:rsid w:val="266461E7"/>
    <w:rsid w:val="288F08BE"/>
    <w:rsid w:val="2A04393B"/>
    <w:rsid w:val="2ADF2959"/>
    <w:rsid w:val="2B7972ED"/>
    <w:rsid w:val="2BF87DE1"/>
    <w:rsid w:val="313A6FF0"/>
    <w:rsid w:val="3AE6075F"/>
    <w:rsid w:val="3B8100AD"/>
    <w:rsid w:val="418138A5"/>
    <w:rsid w:val="42C26EDA"/>
    <w:rsid w:val="42F213A0"/>
    <w:rsid w:val="435E51CA"/>
    <w:rsid w:val="48144040"/>
    <w:rsid w:val="48672FC4"/>
    <w:rsid w:val="490F1A72"/>
    <w:rsid w:val="4ABD1427"/>
    <w:rsid w:val="4B4476DF"/>
    <w:rsid w:val="4BCC743B"/>
    <w:rsid w:val="4BE21CA0"/>
    <w:rsid w:val="52E86DA4"/>
    <w:rsid w:val="582C7736"/>
    <w:rsid w:val="59070951"/>
    <w:rsid w:val="59853FD2"/>
    <w:rsid w:val="5B731C38"/>
    <w:rsid w:val="5B7F7431"/>
    <w:rsid w:val="5EC60095"/>
    <w:rsid w:val="5EFB6BE6"/>
    <w:rsid w:val="62E13097"/>
    <w:rsid w:val="63400963"/>
    <w:rsid w:val="64E47EB9"/>
    <w:rsid w:val="66E04F16"/>
    <w:rsid w:val="69872EAF"/>
    <w:rsid w:val="6B3D14DA"/>
    <w:rsid w:val="6E35285E"/>
    <w:rsid w:val="6E64551F"/>
    <w:rsid w:val="6F910C0B"/>
    <w:rsid w:val="702F19E5"/>
    <w:rsid w:val="72BA34B6"/>
    <w:rsid w:val="72C32CC9"/>
    <w:rsid w:val="732D6DF0"/>
    <w:rsid w:val="78BD7341"/>
    <w:rsid w:val="7A097F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3">
    <w:name w:val="Body Text Indent"/>
    <w:basedOn w:val="1"/>
    <w:unhideWhenUsed/>
    <w:qFormat/>
    <w:uiPriority w:val="99"/>
    <w:pPr>
      <w:ind w:left="-180"/>
    </w:pPr>
    <w:rPr>
      <w:sz w:val="32"/>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unhideWhenUsed/>
    <w:qFormat/>
    <w:uiPriority w:val="99"/>
    <w:rPr>
      <w:color w:val="800080"/>
      <w:u w:val="single"/>
    </w:rPr>
  </w:style>
  <w:style w:type="character" w:styleId="12">
    <w:name w:val="Hyperlink"/>
    <w:basedOn w:val="9"/>
    <w:unhideWhenUsed/>
    <w:qFormat/>
    <w:uiPriority w:val="99"/>
    <w:rPr>
      <w:color w:val="0000FF"/>
      <w:u w:val="single"/>
    </w:rPr>
  </w:style>
  <w:style w:type="paragraph" w:customStyle="1" w:styleId="13">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paragraph" w:customStyle="1" w:styleId="14">
    <w:name w:val="CM1"/>
    <w:basedOn w:val="13"/>
    <w:next w:val="13"/>
    <w:qFormat/>
    <w:uiPriority w:val="99"/>
    <w:pPr>
      <w:spacing w:line="520" w:lineRule="atLeast"/>
    </w:pPr>
    <w:rPr>
      <w:rFonts w:cstheme="minorBidi"/>
      <w:color w:val="auto"/>
    </w:rPr>
  </w:style>
  <w:style w:type="paragraph" w:customStyle="1" w:styleId="15">
    <w:name w:val="CM2"/>
    <w:basedOn w:val="13"/>
    <w:next w:val="13"/>
    <w:qFormat/>
    <w:uiPriority w:val="99"/>
    <w:pPr>
      <w:spacing w:line="520" w:lineRule="atLeast"/>
    </w:pPr>
    <w:rPr>
      <w:rFonts w:cstheme="minorBidi"/>
      <w:color w:val="auto"/>
    </w:rPr>
  </w:style>
  <w:style w:type="paragraph" w:customStyle="1" w:styleId="16">
    <w:name w:val="CM3"/>
    <w:basedOn w:val="13"/>
    <w:next w:val="13"/>
    <w:qFormat/>
    <w:uiPriority w:val="99"/>
    <w:pPr>
      <w:spacing w:line="520" w:lineRule="atLeast"/>
    </w:pPr>
    <w:rPr>
      <w:rFonts w:cstheme="minorBidi"/>
      <w:color w:val="auto"/>
    </w:rPr>
  </w:style>
  <w:style w:type="paragraph" w:customStyle="1" w:styleId="17">
    <w:name w:val="CM23"/>
    <w:basedOn w:val="13"/>
    <w:next w:val="13"/>
    <w:qFormat/>
    <w:uiPriority w:val="99"/>
    <w:rPr>
      <w:rFonts w:cstheme="minorBidi"/>
      <w:color w:val="auto"/>
    </w:rPr>
  </w:style>
  <w:style w:type="paragraph" w:customStyle="1" w:styleId="18">
    <w:name w:val="CM5"/>
    <w:basedOn w:val="13"/>
    <w:next w:val="13"/>
    <w:qFormat/>
    <w:uiPriority w:val="99"/>
    <w:pPr>
      <w:spacing w:line="520" w:lineRule="atLeast"/>
    </w:pPr>
    <w:rPr>
      <w:rFonts w:cstheme="minorBidi"/>
      <w:color w:val="auto"/>
    </w:rPr>
  </w:style>
  <w:style w:type="paragraph" w:customStyle="1" w:styleId="19">
    <w:name w:val="CM6"/>
    <w:basedOn w:val="13"/>
    <w:next w:val="13"/>
    <w:qFormat/>
    <w:uiPriority w:val="99"/>
    <w:pPr>
      <w:spacing w:line="520" w:lineRule="atLeast"/>
    </w:pPr>
    <w:rPr>
      <w:rFonts w:cstheme="minorBidi"/>
      <w:color w:val="auto"/>
    </w:rPr>
  </w:style>
  <w:style w:type="paragraph" w:customStyle="1" w:styleId="20">
    <w:name w:val="CM7"/>
    <w:basedOn w:val="13"/>
    <w:next w:val="13"/>
    <w:qFormat/>
    <w:uiPriority w:val="99"/>
    <w:pPr>
      <w:spacing w:line="538" w:lineRule="atLeast"/>
    </w:pPr>
    <w:rPr>
      <w:rFonts w:cstheme="minorBidi"/>
      <w:color w:val="auto"/>
    </w:rPr>
  </w:style>
  <w:style w:type="paragraph" w:customStyle="1" w:styleId="21">
    <w:name w:val="CM8"/>
    <w:basedOn w:val="13"/>
    <w:next w:val="13"/>
    <w:qFormat/>
    <w:uiPriority w:val="99"/>
    <w:pPr>
      <w:spacing w:line="531" w:lineRule="atLeast"/>
    </w:pPr>
    <w:rPr>
      <w:rFonts w:cstheme="minorBidi"/>
      <w:color w:val="auto"/>
    </w:rPr>
  </w:style>
  <w:style w:type="paragraph" w:customStyle="1" w:styleId="22">
    <w:name w:val="CM9"/>
    <w:basedOn w:val="13"/>
    <w:next w:val="13"/>
    <w:qFormat/>
    <w:uiPriority w:val="99"/>
    <w:pPr>
      <w:spacing w:line="531" w:lineRule="atLeast"/>
    </w:pPr>
    <w:rPr>
      <w:rFonts w:cstheme="minorBidi"/>
      <w:color w:val="auto"/>
    </w:rPr>
  </w:style>
  <w:style w:type="paragraph" w:customStyle="1" w:styleId="23">
    <w:name w:val="CM22"/>
    <w:basedOn w:val="13"/>
    <w:next w:val="13"/>
    <w:qFormat/>
    <w:uiPriority w:val="99"/>
    <w:rPr>
      <w:rFonts w:cstheme="minorBidi"/>
      <w:color w:val="auto"/>
    </w:rPr>
  </w:style>
  <w:style w:type="paragraph" w:customStyle="1" w:styleId="24">
    <w:name w:val="CM10"/>
    <w:basedOn w:val="13"/>
    <w:next w:val="13"/>
    <w:qFormat/>
    <w:uiPriority w:val="99"/>
    <w:pPr>
      <w:spacing w:line="536" w:lineRule="atLeast"/>
    </w:pPr>
    <w:rPr>
      <w:rFonts w:cstheme="minorBidi"/>
      <w:color w:val="auto"/>
    </w:rPr>
  </w:style>
  <w:style w:type="paragraph" w:customStyle="1" w:styleId="25">
    <w:name w:val="CM11"/>
    <w:basedOn w:val="13"/>
    <w:next w:val="13"/>
    <w:qFormat/>
    <w:uiPriority w:val="99"/>
    <w:pPr>
      <w:spacing w:line="500" w:lineRule="atLeast"/>
    </w:pPr>
    <w:rPr>
      <w:rFonts w:cstheme="minorBidi"/>
      <w:color w:val="auto"/>
    </w:rPr>
  </w:style>
  <w:style w:type="paragraph" w:customStyle="1" w:styleId="26">
    <w:name w:val="CM12"/>
    <w:basedOn w:val="13"/>
    <w:next w:val="13"/>
    <w:qFormat/>
    <w:uiPriority w:val="99"/>
    <w:pPr>
      <w:spacing w:line="500" w:lineRule="atLeast"/>
    </w:pPr>
    <w:rPr>
      <w:rFonts w:cstheme="minorBidi"/>
      <w:color w:val="auto"/>
    </w:rPr>
  </w:style>
  <w:style w:type="paragraph" w:customStyle="1" w:styleId="27">
    <w:name w:val="CM13"/>
    <w:basedOn w:val="13"/>
    <w:next w:val="13"/>
    <w:qFormat/>
    <w:uiPriority w:val="99"/>
    <w:pPr>
      <w:spacing w:line="500" w:lineRule="atLeast"/>
    </w:pPr>
    <w:rPr>
      <w:rFonts w:cstheme="minorBidi"/>
      <w:color w:val="auto"/>
    </w:rPr>
  </w:style>
  <w:style w:type="paragraph" w:customStyle="1" w:styleId="28">
    <w:name w:val="CM15"/>
    <w:basedOn w:val="13"/>
    <w:next w:val="13"/>
    <w:qFormat/>
    <w:uiPriority w:val="99"/>
    <w:pPr>
      <w:spacing w:line="540" w:lineRule="atLeast"/>
    </w:pPr>
    <w:rPr>
      <w:rFonts w:cstheme="minorBidi"/>
      <w:color w:val="auto"/>
    </w:rPr>
  </w:style>
  <w:style w:type="paragraph" w:customStyle="1" w:styleId="29">
    <w:name w:val="CM16"/>
    <w:basedOn w:val="13"/>
    <w:next w:val="13"/>
    <w:qFormat/>
    <w:uiPriority w:val="99"/>
    <w:pPr>
      <w:spacing w:line="540" w:lineRule="atLeast"/>
    </w:pPr>
    <w:rPr>
      <w:rFonts w:cstheme="minorBidi"/>
      <w:color w:val="auto"/>
    </w:rPr>
  </w:style>
  <w:style w:type="paragraph" w:customStyle="1" w:styleId="30">
    <w:name w:val="CM17"/>
    <w:basedOn w:val="13"/>
    <w:next w:val="13"/>
    <w:qFormat/>
    <w:uiPriority w:val="99"/>
    <w:pPr>
      <w:spacing w:line="540" w:lineRule="atLeast"/>
    </w:pPr>
    <w:rPr>
      <w:rFonts w:cstheme="minorBidi"/>
      <w:color w:val="auto"/>
    </w:rPr>
  </w:style>
  <w:style w:type="paragraph" w:customStyle="1" w:styleId="31">
    <w:name w:val="CM18"/>
    <w:basedOn w:val="13"/>
    <w:next w:val="13"/>
    <w:qFormat/>
    <w:uiPriority w:val="99"/>
    <w:pPr>
      <w:spacing w:line="540" w:lineRule="atLeast"/>
    </w:pPr>
    <w:rPr>
      <w:rFonts w:cstheme="minorBidi"/>
      <w:color w:val="auto"/>
    </w:rPr>
  </w:style>
  <w:style w:type="paragraph" w:customStyle="1" w:styleId="32">
    <w:name w:val="CM25"/>
    <w:basedOn w:val="13"/>
    <w:next w:val="13"/>
    <w:qFormat/>
    <w:uiPriority w:val="99"/>
    <w:rPr>
      <w:rFonts w:cstheme="minorBidi"/>
      <w:color w:val="auto"/>
    </w:rPr>
  </w:style>
  <w:style w:type="paragraph" w:customStyle="1" w:styleId="33">
    <w:name w:val="CM19"/>
    <w:basedOn w:val="13"/>
    <w:next w:val="13"/>
    <w:qFormat/>
    <w:uiPriority w:val="99"/>
    <w:pPr>
      <w:spacing w:line="593" w:lineRule="atLeast"/>
    </w:pPr>
    <w:rPr>
      <w:rFonts w:cstheme="minorBidi"/>
      <w:color w:val="auto"/>
    </w:rPr>
  </w:style>
  <w:style w:type="paragraph" w:customStyle="1" w:styleId="34">
    <w:name w:val="CM26"/>
    <w:basedOn w:val="13"/>
    <w:next w:val="13"/>
    <w:qFormat/>
    <w:uiPriority w:val="99"/>
    <w:rPr>
      <w:rFonts w:cstheme="minorBidi"/>
      <w:color w:val="auto"/>
    </w:rPr>
  </w:style>
  <w:style w:type="paragraph" w:customStyle="1" w:styleId="35">
    <w:name w:val="CM20"/>
    <w:basedOn w:val="13"/>
    <w:next w:val="13"/>
    <w:qFormat/>
    <w:uiPriority w:val="99"/>
    <w:pPr>
      <w:spacing w:line="626" w:lineRule="atLeast"/>
    </w:pPr>
    <w:rPr>
      <w:rFonts w:cstheme="minorBidi"/>
      <w:color w:val="auto"/>
    </w:rPr>
  </w:style>
  <w:style w:type="paragraph" w:customStyle="1" w:styleId="36">
    <w:name w:val="CM27"/>
    <w:basedOn w:val="13"/>
    <w:next w:val="13"/>
    <w:qFormat/>
    <w:uiPriority w:val="99"/>
    <w:rPr>
      <w:rFonts w:cstheme="minorBidi"/>
      <w:color w:val="auto"/>
    </w:rPr>
  </w:style>
  <w:style w:type="paragraph" w:customStyle="1" w:styleId="3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9CCA1D-B9F7-4437-AF16-4530A6640A6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3042</Words>
  <Characters>3365</Characters>
  <Lines>21</Lines>
  <Paragraphs>6</Paragraphs>
  <TotalTime>1</TotalTime>
  <ScaleCrop>false</ScaleCrop>
  <LinksUpToDate>false</LinksUpToDate>
  <CharactersWithSpaces>3384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2020-05-21T09:30:00Z</dcterms:created>
  <dc:creator>wd</dc:creator>
  <cp:lastModifiedBy>范郁冰</cp:lastModifiedBy>
  <cp:lastPrinted>2020-05-12T01:27:00Z</cp:lastPrinted>
  <dcterms:modified xsi:type="dcterms:W3CDTF">2022-04-08T09:48:53Z</dcterms:modified>
  <dc:title>湖南中医学院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43B59B6C55384756809E7EFB248510E5</vt:lpwstr>
  </property>
</Properties>
</file>