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工商管理学院(MBA教育中心) 2022年工商管理硕士研究生复试细则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2022年全国硕士研究生招生工作管理规定》（教学函〔2021〕2号）、《关于做好2022年全国硕士研究生招生录取工作的通知》（教学司〔2022〕4号）、《中南财经政法大学2022年硕士研究生复试录取办法》的要求，现结合我院工商管理硕士教育实际，特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复试工作的指导思想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习近平新时代中国特色社会主义思想为指导，深入贯彻党的十九大和十九届历次中央全会精神，全面落实党的教育方针，统筹做好疫情防控和复试组织工作，坚持安全有序、科学选拔、公平公正的工作原则，突出学科特色和需求，确保复试录取质量；严格规范考核流程，做到政策透明、程序公正、结果公开，维护考生的合法权益，安全平稳有序完成2022年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二、复试工作的组织领导及监督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成立以院长为组长、分管研究生工作副院长为副组长、各硕士研究生招生专业导师组组长及研究生教学秘书组成的招生复试工作领导小组，负责本年度学院研究生招生复试工作，配合学校研究生院完成招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成立以院党委书记任组长，院党委副书记（纪委书记）为副组长，研究生工作办公室工作人员组成的复试监督巡视组，负责对参加复试考生的思想政治品德考察和对本院复试全过程进行监督及巡视检查，公开有关信息，受理考生申诉并及时妥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3.学院成立分管MBA教育中心工作的副院长为组长、MBA教育中心行政人员为成员的MBA复试工作小组，以MBA导师组成复试小组，在学院招生复试工作领导小组指导下开展MBA的招生复试工作。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三、复试工作基本政策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1.学院严格按照学校下达的招生计划（含各专项计划）及相关要求开展招生录取工作。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2.复试分数线及复试比例。在达到国家初试成绩基本要求的基础上，以学校下达的MBA招生计划数为基数，按照招生计划数乘以130%的比例方式确定复试人数和复试名单。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工商管理学院（中心）2022年MBA总招生计划数为212人（含退役大学生士兵计划1人），其中工商管理硕士（MBA）方向180人，工商管理硕士（EMBA）方向32人。工商管理学院（中心）划定的复试资格分数线如下表所示。</w:t>
      </w:r>
    </w:p>
    <w:tbl>
      <w:tblPr>
        <w:tblStyle w:val="2"/>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66"/>
        <w:gridCol w:w="1045"/>
        <w:gridCol w:w="957"/>
        <w:gridCol w:w="1595"/>
        <w:gridCol w:w="1382"/>
        <w:gridCol w:w="1719"/>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专业名称</w:t>
            </w:r>
          </w:p>
        </w:tc>
        <w:tc>
          <w:tcPr>
            <w:tcW w:w="88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类别</w:t>
            </w:r>
          </w:p>
        </w:tc>
        <w:tc>
          <w:tcPr>
            <w:tcW w:w="3075" w:type="dxa"/>
            <w:gridSpan w:val="3"/>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复试资格分数线</w:t>
            </w:r>
          </w:p>
        </w:tc>
        <w:tc>
          <w:tcPr>
            <w:tcW w:w="145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计划招生人数</w:t>
            </w:r>
          </w:p>
        </w:tc>
        <w:tc>
          <w:tcPr>
            <w:tcW w:w="111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通过复试资格分数线人数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88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英语</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管理类联考综合能力</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总分</w:t>
            </w:r>
          </w:p>
        </w:tc>
        <w:tc>
          <w:tcPr>
            <w:tcW w:w="14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c>
          <w:tcPr>
            <w:tcW w:w="111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4" w:line="240" w:lineRule="auto"/>
              <w:ind w:firstLine="0"/>
              <w:jc w:val="center"/>
              <w:textAlignment w:val="auto"/>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工商管理硕士（MBA）</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非全日制</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42</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84</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170</w:t>
            </w:r>
          </w:p>
        </w:tc>
        <w:tc>
          <w:tcPr>
            <w:tcW w:w="145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180</w:t>
            </w:r>
          </w:p>
        </w:tc>
        <w:tc>
          <w:tcPr>
            <w:tcW w:w="11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14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工商管理硕士（EMBA）</w:t>
            </w:r>
          </w:p>
        </w:tc>
        <w:tc>
          <w:tcPr>
            <w:tcW w:w="88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非全日制</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42</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84</w:t>
            </w:r>
          </w:p>
        </w:tc>
        <w:tc>
          <w:tcPr>
            <w:tcW w:w="117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170</w:t>
            </w:r>
          </w:p>
        </w:tc>
        <w:tc>
          <w:tcPr>
            <w:tcW w:w="145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32</w:t>
            </w:r>
          </w:p>
        </w:tc>
        <w:tc>
          <w:tcPr>
            <w:tcW w:w="111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lang w:val="en-US" w:eastAsia="zh-CN" w:bidi="ar"/>
              </w:rPr>
              <w:t>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r>
        <w:rPr>
          <w:rFonts w:hint="eastAsia" w:ascii="宋体" w:hAnsi="宋体" w:eastAsia="宋体" w:cs="宋体"/>
          <w:sz w:val="24"/>
          <w:szCs w:val="32"/>
        </w:rPr>
        <w:t>退役大学生士兵计划1人，学校划定的复试分数线为：</w:t>
      </w:r>
    </w:p>
    <w:tbl>
      <w:tblPr>
        <w:tblStyle w:val="2"/>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8"/>
        <w:gridCol w:w="2775"/>
        <w:gridCol w:w="2680"/>
        <w:gridCol w:w="950"/>
        <w:gridCol w:w="22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7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shd w:val="clear" w:fill="FFFFFF"/>
                <w:lang w:val="en-US" w:eastAsia="zh-CN" w:bidi="ar"/>
              </w:rPr>
              <w:t>类别</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shd w:val="clear" w:fill="FFFFFF"/>
                <w:lang w:val="en-US" w:eastAsia="zh-CN" w:bidi="ar"/>
              </w:rPr>
              <w:t>单科（满分=100分）</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shd w:val="clear" w:fill="FFFFFF"/>
                <w:lang w:val="en-US" w:eastAsia="zh-CN" w:bidi="ar"/>
              </w:rPr>
              <w:t>单科（满分&gt;100分）</w:t>
            </w:r>
          </w:p>
        </w:tc>
        <w:tc>
          <w:tcPr>
            <w:tcW w:w="7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shd w:val="clear" w:fill="FFFFFF"/>
                <w:lang w:val="en-US" w:eastAsia="zh-CN" w:bidi="ar"/>
              </w:rPr>
              <w:t>总分</w:t>
            </w:r>
          </w:p>
        </w:tc>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Style w:val="4"/>
                <w:rFonts w:hint="eastAsia" w:ascii="宋体" w:hAnsi="宋体" w:eastAsia="宋体" w:cs="宋体"/>
                <w:b/>
                <w:bCs/>
                <w:i w:val="0"/>
                <w:iCs w:val="0"/>
                <w:caps w:val="0"/>
                <w:color w:val="333333"/>
                <w:spacing w:val="0"/>
                <w:kern w:val="0"/>
                <w:sz w:val="24"/>
                <w:szCs w:val="24"/>
                <w:lang w:val="en-US" w:eastAsia="zh-CN" w:bidi="ar"/>
              </w:rPr>
              <w:t>通过复试资格分数线人数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567" w:hRule="atLeast"/>
          <w:jc w:val="center"/>
        </w:trPr>
        <w:tc>
          <w:tcPr>
            <w:tcW w:w="79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考两门</w:t>
            </w:r>
          </w:p>
        </w:tc>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43</w:t>
            </w:r>
          </w:p>
        </w:tc>
        <w:tc>
          <w:tcPr>
            <w:tcW w:w="21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100</w:t>
            </w:r>
          </w:p>
        </w:tc>
        <w:tc>
          <w:tcPr>
            <w:tcW w:w="7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198</w:t>
            </w:r>
          </w:p>
        </w:tc>
        <w:tc>
          <w:tcPr>
            <w:tcW w:w="175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退役大学生士兵计划考生与非专项计划硕士研究生同时参加复试，复试名单详见附件1。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四、复试形式、内容及时间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达到我院工商管理硕士研究生复试资格分数线的考生均需按要求参加复试，否则视同自动放弃。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通知》精神和学校2022年研究生复试录取办法相关要求，我院2022级工商管理硕士研究生复试均通过学校研究生招生远程复试系统进行，采取网络远程方式开展复试。网络远程复试采用统一的软件平台，具有对参加复试的考生进行“人脸识别”和“人证识别”的功能，严防“替考”等违纪违规行为。网络远程复试考生须知和操作规程等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考生因特殊原因难以参加或中途无法完成网络远程复试的，请尽快联系报考学院（中心）（MBA招生办电话：027-88047866、88050500）。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面试采取小组形式，每组面试考官由5名专家组成。各面试小组专家均集中在学校标准化考场对考生进行远程面试。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具体远程复试系统的确定和操作，根据学校复试工作具体需求，按照学校相关政策执行。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（二）复试内容及考核标准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考核考生的思想政治品德、专业基础知识和综合能力、外语听说能力、综合素质等方面的内容。考生可以提供以往学习和工作业绩的补充证明材料，以便考官对考生的学习和工作能力等情况进行全面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综合素质考查（10分）、思想政治理论（30分）、英语听说（10分）和专业知识与能力（50分）四个方面内容，总分100分。复试成绩占硕士研究生入学考试总成绩权重的30%。入学考试总成绩计算方法为：入学考试总成绩=初试总成绩/3×70%+复试成绩×30%。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复试考核评分标准见复试考核评分表（附件2）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参加提前批面试的考生，第一志愿报考我校并且管理类联考成绩达到我校划定的分数线后，仍需参加政治复试。获得“优秀”通行证的考生按附加分20分成绩计入复试成绩中，获得“良好”通行证的考生按附加分10分成绩计入复试成绩中。最终所有考生按照入学考试总成绩从高到低排名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在复试前通过线上审查形式对考生的居民身份证、学历学位证书、学历学籍核验结果等进行严格审查核验，通过综合比对“报考库”“学籍学历库”“人口信息库”“考生考试诚信档案库”等措施，对考生身份的审查核验。资格审查未通过者不予复试。具体要求详见《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（1）思想政治理论面试（30分）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思想政治理论面试过程包括考生抽题、考生回答、专家评分三个环节。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思想政治理论复试项目主要考察考生思想政治素养，以及对党和国家方针政策的理解和运用能力。每个考生面试时间5分钟。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复试形式：考生随机抽取1题，用中文回答。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参考书目：1.《中共中央关于党的百年奋斗重大成就和历史经验的决议》，人民出版社，2021年。2.中共中央党校编：《习近平新时代中国特色社会主义思想基本问题》，人民出版社，中共中央党校出版社，2020年。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（2）综合面试（70分）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综合面试考核过程包括考生抽题、考生回答、专家提问（包括追问环节）、专家评分四个环节。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1）综合素质考查（10分）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面试小组通过考察考生的工作背景、工作业绩等情况，以及考生面试现场表现进行综合评价。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2）英语听说（10分）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英语听说面试项目主要考察考生的英语听说能力。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复试形式：考生先用英语做2分钟个人背景介绍，再随机抽取1题，英语对话。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3）专业知识与能力（50分）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专业知识与能力面试项目主要考察考生对经济管理相关基础知识的掌握和运用能力，以及现场沟通表达和反应能力等。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复试形式：考生随机抽取2道简答题，用中文回答并接受面试专家提问。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4.复试时间及地点</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50"/>
        <w:gridCol w:w="4119"/>
        <w:gridCol w:w="1939"/>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时间</w:t>
            </w:r>
          </w:p>
        </w:tc>
        <w:tc>
          <w:tcPr>
            <w:tcW w:w="4119"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地点</w:t>
            </w:r>
          </w:p>
        </w:tc>
        <w:tc>
          <w:tcPr>
            <w:tcW w:w="1939"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联系人</w:t>
            </w:r>
          </w:p>
        </w:tc>
        <w:tc>
          <w:tcPr>
            <w:tcW w:w="23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2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3月27日</w:t>
            </w:r>
          </w:p>
        </w:tc>
        <w:tc>
          <w:tcPr>
            <w:tcW w:w="4119"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0C0C0C"/>
                <w:kern w:val="0"/>
                <w:sz w:val="24"/>
                <w:szCs w:val="24"/>
                <w:bdr w:val="none" w:color="auto" w:sz="0" w:space="0"/>
                <w:shd w:val="clear" w:fill="FFFFFF"/>
                <w:lang w:val="en-US" w:eastAsia="zh-CN" w:bidi="ar"/>
              </w:rPr>
              <w:t>考生自行选择，要求该场所安静，可以利用智能手机联网（具体要求以学校研究生院复试具体要求为准）</w:t>
            </w:r>
          </w:p>
        </w:tc>
        <w:tc>
          <w:tcPr>
            <w:tcW w:w="1939"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熊老师,董老师</w:t>
            </w:r>
          </w:p>
        </w:tc>
        <w:tc>
          <w:tcPr>
            <w:tcW w:w="23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027-88047866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027-88050500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15827210714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480"/>
        <w:jc w:val="left"/>
        <w:rPr>
          <w:rFonts w:ascii="Arial" w:hAnsi="Arial" w:cs="Arial"/>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具体时间安排如下：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29"/>
        <w:gridCol w:w="3561"/>
        <w:gridCol w:w="3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1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时间</w:t>
            </w:r>
          </w:p>
        </w:tc>
        <w:tc>
          <w:tcPr>
            <w:tcW w:w="2760" w:type="dxa"/>
            <w:tcBorders>
              <w:top w:val="single" w:color="000000" w:sz="6" w:space="0"/>
              <w:left w:val="nil"/>
              <w:bottom w:val="single" w:color="000000" w:sz="6" w:space="0"/>
              <w:right w:val="single" w:color="000000" w:sz="6" w:space="0"/>
            </w:tcBorders>
            <w:shd w:val="cle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考生</w:t>
            </w:r>
          </w:p>
        </w:tc>
        <w:tc>
          <w:tcPr>
            <w:tcW w:w="25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面试内容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1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9:00-12:00</w:t>
            </w:r>
          </w:p>
        </w:tc>
        <w:tc>
          <w:tcPr>
            <w:tcW w:w="2760" w:type="dxa"/>
            <w:tcBorders>
              <w:top w:val="nil"/>
              <w:left w:val="nil"/>
              <w:bottom w:val="single" w:color="000000" w:sz="6" w:space="0"/>
              <w:right w:val="single" w:color="000000" w:sz="6" w:space="0"/>
            </w:tcBorders>
            <w:shd w:val="cle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所有考生</w:t>
            </w:r>
          </w:p>
        </w:tc>
        <w:tc>
          <w:tcPr>
            <w:tcW w:w="25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思想政治面试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1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13:00-19:00</w:t>
            </w:r>
          </w:p>
        </w:tc>
        <w:tc>
          <w:tcPr>
            <w:tcW w:w="2760" w:type="dxa"/>
            <w:tcBorders>
              <w:top w:val="nil"/>
              <w:left w:val="nil"/>
              <w:bottom w:val="single" w:color="000000" w:sz="6" w:space="0"/>
              <w:right w:val="single" w:color="000000" w:sz="6" w:space="0"/>
            </w:tcBorders>
            <w:shd w:val="cle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未参加提前批面试考生</w:t>
            </w:r>
          </w:p>
        </w:tc>
        <w:tc>
          <w:tcPr>
            <w:tcW w:w="25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综合面试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注：（1）复试需提前通过网上资格审查并缴费，才能参加复试；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（2）复试考生凭有效二代身份证、初试准考证和交费截图参加线上复试，请提前30分钟进系统；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（3）复试分组名单详见复试当天公告，不予提前公布；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（4）考生凭准考证进入复试系统，由每组工作人员根据考试原始报考档案核实身份。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五、线上资格审核要求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（一）线上资格审查时间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根据学校2022年硕士研究生招生复试工作安排，学校通过网络系统开展复试资格审查工作，考生网上提交材料时间为：2022年3月23日12:00至3月24日24:00。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（二）资格审查具体要求参加复试的考生须提前准备以下材料（PDF格式或JPG格式的原件扫描件或清晰拍照件）：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1.考生本人有效二代身份证原件扫描或清晰拍照。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2.考生本人《2022年硕士研究生入学考试准考证》原件扫描或清晰拍照。如《准考证》丢失，考生可凭借网报时的用户名和密码（学信网账号）登录研招统考网报平台再次下载打印《准考证》。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3.学籍学历审查材料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（1）本科毕业证书及学位证书原件扫描或清晰拍照，或《教育部学历证书电子注册备案表》或《学历认证报告》（认证办法详见中国高等教育学生信息网（http://www.chsi.com.cn/）。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（2）取得境外大学文凭的考生须准备以下材料：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“教育部留学服务中心”出具的《国外学历学位认证书》扫描或清晰拍照，相关认证流程请查询中国留学网（http://www.cscse.edu.cn）。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4.《中南财经政法大学硕士研究生复试政审函调表》（附件3）原件扫描或清晰拍照，须加盖有关公章。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5.《中南财经政法大学硕士研究生复试素质和能力考核登记表》（附件4）原件扫描或清晰拍照，附相关证明材料原件扫描或清晰拍照。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计划的考生还须提交个人《应征公民入伍批准书》和《退出现役证》原件扫描或清晰拍照，以及个人档案中的《义务兵退出现役登记表》或《士官退出现役登记表》复印件加盖档案所在部门的档案管理公章原件扫描或清晰拍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9月份入学后，考生须将个人《应征公民入伍批准书》和《退出现役证》原件及复印件交至所在学院（中心）复查。学院（中心）应将《应征公民入伍批准书》和《退出现役证》复印件存入考生个人档案中。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7.考生完整抄写《中南财经政法大学2022年硕士研究生网络复试考生诚信承诺书》（附件5）并亲笔签名后清晰拍照上传至资格审查系统。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未按时提交《教育部学历证书电子注册备案表》或《学历认证报告》，取消复试资格。对于资格审查时提供虚假信息或证明材料者，不论何时，一经查实，取消其复试或录取资格。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8.考生缴费：考生在资格审查通过后，须在网上资格审查系统中缴纳复试费，复试费标准为100元。缴费后因各种原因未参加复试者，已支付的复试费不退。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根据教育部有关文件规定和学校疫情防控工作要求，考生体检工作在9月份入学后根据学校研究生院要求执行。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商管理硕士（EMBA）方向接受报考我校工商管理硕士（MBA）初试成绩过国家线且符合我校工商管理硕士（EMBA）报考条件的考生转方向申请（申请表见附件6）。申请表需打印并手写签名，复试前发邮件至zuelmba@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若工商管理硕士（EMBA）方向接收报考我校工商管理硕士（MBA）考生转方向申请招录后仍有余额指标，将在MBA教育中心网站公告接收校外考生调剂申请和复试细则。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根据教育部文件规定，未参加复试的考生视为弃权，不予录取；复试总成绩不合格的考生，不予录取；思想政治品德考核作为复试录取参考，不作量化计入复试总成绩，但思想政治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（二）按入学考试总成绩从高到低排序进行录取。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1.按入学考试总成绩从高到低排序进行录取。若入学考试总成绩相等，按初试总成绩从高到低排序进行录取；若初试总成绩相等，按复试成绩从高到低排序进行录取。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2.考生复试思想政治成绩低于18分，综合面试成绩低于42分，非专项计划考生复试成绩低于60分为不合格，专项计划（少数民族骨干计划、退役大学生士兵计划）考生复试成绩低于50分为不合格。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（三）出现以下情况者一律取消录取资格：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1.资格审查不合格者；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2.复试期间有舞弊行为者。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九、录取通知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经学校录取程序拟录取的考生，我院将挂网公示通知，录取通知书发放时间以我校研究生院公布时间为准。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认真贯彻“公开、公平、公正”的原则，准确把握客观标准，严格把好复试质量关。加强复试工作相关人员的考务纪律管理，落实回避要求，强化考务培训，自觉接受社会监督，营造招生工作的公开、公平、公正的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2.落实“一岗多控、多岗监督”机制，学校纪检监察部门和各学院（中心）复试监督巡视组全程参与复试及录取过程的监督工作。对违反招生政策和纪律的行为，学校将按有关规定严肃处理。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负有遵守报考条件的责任。教育部《2022年全国硕士研究生招生工作管理规定》明确规定“考生应当认真了解并严格按照报考条件及相关政策要求选择填报志愿。因不符合报考条件及相关政策要求，造成后续不能现场确认、考试、复试或录取的，后果由考生本人承担。”“考生应当按要求准确填写个人网上报名信息并提供真实材料。考生因网报信息填写错误、填报虚假信息而造成不能考试、复试或录取的，后果由考生本人承担。”学校严格遵守执行国家相关政策规定。凡参加我校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对在复试过程中有违规行为的考生，一经查实，即按国家有关规定严肃处理，取消录取资格，计入考生考试诚信档案。入学后3个月内，学校将按《中南财经政法大学研究生学籍管理办法》有关要求，对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5.其他未尽事宜以教育部《2022年全国硕士研究生招生工作管理规定》（教学函〔2021〕2号）等文件的相关规定为准。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6.请考生密切关注我校研究生招生网、工商管理学院和MBA教育中心网站相关通知，以免贻误。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7.咨询电话：MBA教育中心招生工作办公室：027-88050500、027-88047866。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1.考生应提前准备好网络复试所需的软硬件条件，包括基本联网环境、手机接入设备，并按系统提示完成测试性考核，提前熟悉系统各项操作流程及相关要求。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2.复试时间不能调整，请具备复试资格的考生准时参加复试。未按时参加复试者视作放弃复试资格。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3.参加复试前进行资格审查，无法提交资格审查所需材料或资格审查未通过考生将不予录取。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4.请各位考生务必保持手机畅通，电话号码如有变更，请及时致电027-88047866/88050500登记修改。我校未授权任何单位及个人进行招生，电话通知均以官方公布的座机号码为准。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5.关于复试具体流程、复试系统等未尽事宜请关注研究生院和学院中心网站的后续通知。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十二、信息公开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工商管理学院（中心）招生录取信息会在网站进行公示，公示时间不少于5个工作日。研究生院统一公示全校拟录取名单，公示时间不少于10个工作日。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工商管理学院（中心）申诉邮箱：zuelmba@163.com；联系电话：027-88047866，88050500；监督电话：027-88386757。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中南财经政法大学工商管理学院（MBA教育中心）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6765"/>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2022-04-14T06:51:29Z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