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哲学院2022年硕士研究生复试录取办法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根据《中南财经政法大学2022年硕士研究生复试录取办法》的文件精神，并结合我院实际情况，特制定《哲学院2022年硕士研究生复试录取办法》。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习近平新时代中国特色社会主义思想为指导，深入贯彻党的十九大和十九届历次中央全会精神，全面落实党的教育方针，统筹做好疫情防控和复试组织工作，坚持安全有序、科学选拔、公平公正的工作原则，突出学科特色和需求，确保复试录取质量；严格规范考核流程，做到政策透明、程序公正、结果公开，维护考生的合法权益，安全平稳有序完成2022年研究生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二、组织领导及监督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哲学院2022年硕士研究生入学考试招生工作领导小组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组长：王雨辰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成员：高碧峰  张佳  朱松峰  万健琳  刘新华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哲学院2022年硕士研究生入学考试复试监督巡视组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组长：高碧峰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成员：徐江  陈春英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三、复试比例及复试分数线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达到国家初试成绩基本要求的基础上，学院各招生专业以招生计划数（计算时扣除各专业已录取的2022年推荐免试硕士研究生所占用的招生计划）为基数，严格按照学术型硕士招生计划数、专业型硕士招生计划数乘以130%的比例方式确定复试人数和复试名单，依据初试总成绩从高到低划定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w:t>
      </w:r>
    </w:p>
    <w:tbl>
      <w:tblPr>
        <w:tblStyle w:val="3"/>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autofit"/>
        <w:tblCellMar>
          <w:top w:w="0" w:type="dxa"/>
          <w:left w:w="0" w:type="dxa"/>
          <w:bottom w:w="0" w:type="dxa"/>
          <w:right w:w="0" w:type="dxa"/>
        </w:tblCellMar>
      </w:tblPr>
      <w:tblGrid>
        <w:gridCol w:w="1323"/>
        <w:gridCol w:w="2223"/>
        <w:gridCol w:w="1120"/>
        <w:gridCol w:w="1171"/>
        <w:gridCol w:w="1850"/>
        <w:gridCol w:w="19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学院名称</w:t>
            </w:r>
          </w:p>
        </w:tc>
        <w:tc>
          <w:tcPr>
            <w:tcW w:w="1965" w:type="dxa"/>
            <w:vMerge w:val="restart"/>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专业名称</w:t>
            </w:r>
          </w:p>
        </w:tc>
        <w:tc>
          <w:tcPr>
            <w:tcW w:w="990" w:type="dxa"/>
            <w:vMerge w:val="restart"/>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统考招生计划</w:t>
            </w:r>
          </w:p>
        </w:tc>
        <w:tc>
          <w:tcPr>
            <w:tcW w:w="4395" w:type="dxa"/>
            <w:gridSpan w:val="3"/>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lang w:val="en-US"/>
              </w:rPr>
              <w:t>2022</w:t>
            </w:r>
            <w:r>
              <w:rPr>
                <w:rStyle w:val="5"/>
                <w:rFonts w:hint="eastAsia" w:ascii="宋体" w:hAnsi="宋体" w:eastAsia="宋体" w:cs="宋体"/>
                <w:i w:val="0"/>
                <w:iCs w:val="0"/>
                <w:caps w:val="0"/>
                <w:color w:val="333333"/>
                <w:spacing w:val="0"/>
                <w:sz w:val="24"/>
                <w:szCs w:val="24"/>
              </w:rPr>
              <w:t>年复试分数线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color="auto" w:fill="F9F9F9"/>
            <w:tcMar>
              <w:left w:w="105" w:type="dxa"/>
              <w:right w:w="105" w:type="dxa"/>
            </w:tcMar>
            <w:vAlign w:val="center"/>
          </w:tcPr>
          <w:p>
            <w:pPr>
              <w:rPr>
                <w:rFonts w:hint="eastAsia" w:ascii="宋体" w:hAnsi="宋体" w:eastAsia="宋体" w:cs="宋体"/>
                <w:i w:val="0"/>
                <w:iCs w:val="0"/>
                <w:caps w:val="0"/>
                <w:color w:val="333333"/>
                <w:spacing w:val="0"/>
                <w:sz w:val="24"/>
                <w:szCs w:val="24"/>
              </w:rPr>
            </w:pPr>
          </w:p>
        </w:tc>
        <w:tc>
          <w:tcPr>
            <w:tcW w:w="1965" w:type="dxa"/>
            <w:vMerge w:val="continue"/>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rPr>
                <w:rFonts w:hint="eastAsia" w:ascii="宋体" w:hAnsi="宋体" w:eastAsia="宋体" w:cs="宋体"/>
                <w:i w:val="0"/>
                <w:iCs w:val="0"/>
                <w:caps w:val="0"/>
                <w:color w:val="333333"/>
                <w:spacing w:val="0"/>
                <w:sz w:val="24"/>
                <w:szCs w:val="24"/>
              </w:rPr>
            </w:pPr>
          </w:p>
        </w:tc>
        <w:tc>
          <w:tcPr>
            <w:tcW w:w="990" w:type="dxa"/>
            <w:vMerge w:val="continue"/>
            <w:tcBorders>
              <w:top w:val="single" w:color="000000" w:sz="6" w:space="0"/>
              <w:left w:val="nil"/>
              <w:bottom w:val="single" w:color="000000" w:sz="6" w:space="0"/>
              <w:right w:val="single" w:color="000000" w:sz="6" w:space="0"/>
            </w:tcBorders>
            <w:shd w:val="clear" w:color="auto" w:fill="F9F9F9"/>
            <w:tcMar>
              <w:left w:w="105" w:type="dxa"/>
              <w:right w:w="105" w:type="dxa"/>
            </w:tcMar>
            <w:vAlign w:val="center"/>
          </w:tcPr>
          <w:p>
            <w:pPr>
              <w:rPr>
                <w:rFonts w:hint="eastAsia" w:ascii="宋体" w:hAnsi="宋体" w:eastAsia="宋体" w:cs="宋体"/>
                <w:i w:val="0"/>
                <w:iCs w:val="0"/>
                <w:caps w:val="0"/>
                <w:color w:val="333333"/>
                <w:spacing w:val="0"/>
                <w:sz w:val="24"/>
                <w:szCs w:val="24"/>
              </w:rPr>
            </w:pP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总分</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（满分</w:t>
            </w:r>
            <w:r>
              <w:rPr>
                <w:rStyle w:val="5"/>
                <w:rFonts w:hint="eastAsia" w:ascii="宋体" w:hAnsi="宋体" w:eastAsia="宋体" w:cs="宋体"/>
                <w:i w:val="0"/>
                <w:iCs w:val="0"/>
                <w:caps w:val="0"/>
                <w:color w:val="333333"/>
                <w:spacing w:val="0"/>
                <w:sz w:val="24"/>
                <w:szCs w:val="24"/>
                <w:lang w:val="en-US"/>
              </w:rPr>
              <w:t>=100</w:t>
            </w:r>
            <w:r>
              <w:rPr>
                <w:rStyle w:val="5"/>
                <w:rFonts w:hint="eastAsia" w:ascii="宋体" w:hAnsi="宋体" w:eastAsia="宋体" w:cs="宋体"/>
                <w:i w:val="0"/>
                <w:iCs w:val="0"/>
                <w:caps w:val="0"/>
                <w:color w:val="333333"/>
                <w:spacing w:val="0"/>
                <w:sz w:val="24"/>
                <w:szCs w:val="24"/>
              </w:rPr>
              <w:t>）</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333333"/>
                <w:spacing w:val="0"/>
                <w:sz w:val="24"/>
                <w:szCs w:val="24"/>
              </w:rPr>
              <w:t>（满分</w:t>
            </w:r>
            <w:r>
              <w:rPr>
                <w:rStyle w:val="5"/>
                <w:rFonts w:hint="eastAsia" w:ascii="宋体" w:hAnsi="宋体" w:eastAsia="宋体" w:cs="宋体"/>
                <w:i w:val="0"/>
                <w:iCs w:val="0"/>
                <w:caps w:val="0"/>
                <w:color w:val="333333"/>
                <w:spacing w:val="0"/>
                <w:sz w:val="24"/>
                <w:szCs w:val="24"/>
                <w:lang w:val="en-US"/>
              </w:rPr>
              <w:t>&gt;100</w:t>
            </w:r>
            <w:r>
              <w:rPr>
                <w:rStyle w:val="5"/>
                <w:rFonts w:hint="eastAsia" w:ascii="宋体" w:hAnsi="宋体" w:eastAsia="宋体" w:cs="宋体"/>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马克思主义哲学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11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398</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中国哲学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346</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外国哲学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375</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逻辑学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383</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伦理学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381</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美学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399</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宗教学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368</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科学技术哲学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400</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政治学理论</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335</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中外政治制度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347</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国际政治</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383</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国际关系</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0</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社会学</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2</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391</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社会工作</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385</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46</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rPr>
          <w:trHeight w:val="567" w:hRule="atLeast"/>
          <w:jc w:val="center"/>
        </w:trPr>
        <w:tc>
          <w:tcPr>
            <w:tcW w:w="117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哲学院</w:t>
            </w:r>
          </w:p>
        </w:tc>
        <w:tc>
          <w:tcPr>
            <w:tcW w:w="196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少数民族骨干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计划</w:t>
            </w:r>
          </w:p>
        </w:tc>
        <w:tc>
          <w:tcPr>
            <w:tcW w:w="9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1</w:t>
            </w:r>
          </w:p>
        </w:tc>
        <w:tc>
          <w:tcPr>
            <w:tcW w:w="10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299</w:t>
            </w:r>
          </w:p>
        </w:tc>
        <w:tc>
          <w:tcPr>
            <w:tcW w:w="163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30</w:t>
            </w:r>
          </w:p>
        </w:tc>
        <w:tc>
          <w:tcPr>
            <w:tcW w:w="172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lang w:val="en-US"/>
              </w:rPr>
              <w:t>45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复试人员名单见附件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精准防控、防止聚集的要求，学校采用网络远程方式开展复试。网络远程复试采用统一的软件平台，具有对参加复试的考生进行“人脸识别”和“人证识别”的功能，严防“替考”等违纪违规行为。网络远程复试考生须知和操作规程等另行通知。考生因特殊原因难以参加或中途无法完成网络远程复试的，请尽快与学院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（二）诚信复试承诺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考生须签订《诚信复试承诺书》，确保提交材料真实有效、复试全程恪守诚信。考生本人完整抄写并签名的《诚信复试承诺书》应与资格审核材料一并提交。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复试于2022年3月26日上午开始，考生请在8点做好复试准备。具体安排待后续通知。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考生网络远程复试模拟测试拟在2022年3月25日进行，具体安排见研究生院官网通知。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资格审查、思想政治品德、专业基础知识和专业综合能力、综合素质和能力、外语听说能力。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硕士研究生入学考试总成绩采取百分制，其中：初试总成绩占70%，复试成绩占30%。计算方法为：标准化处理后的百分制初试总成绩×70%+复试成绩×30%。我院具体计算公式如下：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（六）复试分值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复试成绩满分为100分。其中，专业基础知识和专业综合能力80分，综合素质考查10分，外语听说能力10分。复试科目内容为招生简章和专业目录中规定的内容。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1.面试考核。面试考核分值为90分，考核内容包含专业基础知识和专业综合能力（80分）、外语听说能力（10分）。每位考生面试时间一般不少于20分钟。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考查。综合素质考查分值为10分。各专业面试小组审查考生提交的《复试素质和能力考核登记表》及相关支撑材料，还可以在面试考核环节结合考生提交的综合素质材料进行提问，全面考查考生的既往学业、一贯表现、科研能力等综合素质。考生提交综合素质考查材料的有关要求详见《关于2022年硕士研究生复试网上资格审查的通知》http://yzb.zuel.edu.cn/2022/0320/c4639a293614/page.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3.思想政治品德考核工作，在复试阶段完成，由学院组织进行。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复试须按要求进行网上资格审查。学校通过综合比对“报考库”“学籍学历库”“人口信息库”“考生考试诚信档案库”等措施，加强对考生身份的审查核验。资格审查未通过者不予复试。具体要求详见《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考生在资格审查通过后，须在网上资格审查系统中缴纳复试费，复试费标准为100元。缴费后因各种原因未参加复试者，已支付的复试费不退。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我院全日制各专业不接收调剂。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入学考试总成绩从高到低排序进行录取。若入学考试总成绩相等，按初试总成绩从高到低排序进行录取；若初试总成绩相等，按政治与外语成绩之和从高到低排序进行录取；若政治与外语成绩之和相等，按业务课一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（二）非专项计划考生复试成绩低于60分为不合格，专项计划（少数民族骨干计划、退役大学生士兵计划）考生复试成绩低于50分为不合格。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未参加复试的考生视为弃权，不予录取；复试成绩不合格的考生，不予录取；思想政治品德考核作为复试录取参考，不作量化计入复试总成绩，但思想政治品德考核不合格者不予录取；同等学力身份报考的考生加试科目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拟录取名单在学院官网公示，公示期不少于5个工作日；考生如有异议，请于公示期内向学院提出申诉，学院及时研究并予以答复。学院公示结束后，及时上报学校。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学院咨询电话：027-88386905/15827258508；监督电话：027-88386465；申诉邮箱：2846947133@qq.com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学校咨询电话：027-88386706；监督电话：027-88386196；申诉邮箱：jw@zuel.edu.cn。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工作认真贯彻“公开、公平、公正”的原则，准确把握客观标准，严格把好复试质量关。加强复试工作相关人员的考务纪律管理，落实回避要求，强化考务培训，自觉接受社会监督，营造招生工作的公开、公平、公正的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负有遵守报考条件的责任。教育部《2022年全国硕士研究生招生工作管理规定》明确规定“考生应当认真了解并严格按照报考条件及相关政策要求选择填报志愿。因不符合报考条件及相关政策要求，造成后续不能现场确认、考试、复试或录取的，后果由考生本人承担。”“考生应当按要求准确填写个人网上报名信息并提供真实材料。考生因网报信息填写错误、填报虚假信息而造成不能考试、复试或录取的，后果由考生本人承担。”学校严格遵守执行国家相关政策规定。凡参加我校复试的考生，均视为已承诺遵守这些政策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对在复试过程中有违规行为的考生，一经查实，即按国家有关规定严肃处理，取消录取资格，计入考生考试诚信档案。入学后3个月内，学校将按《中南财经政法大学研究生学籍管理办法》有关要求，对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（四）其他未尽事宜以教育部《2022年全国硕士研究生招生工作管理规定》（教学函〔2021〕2号）等文件的相关规定为准。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（五）请考生密切关注研究生招生网和学院网站相关通知。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（六）为便于沟通，请所有考生加入哲学院2022研究生复试QQ群（群号：608195651）。入群后请立即修改群名片为：专业-姓名。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0D5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0</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2022-04-14T03:58:03Z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