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中华民族共同体研究院2022年硕士研究生复试、调剂及录取工作实施细则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教学函〔2021〕2号，以下简称《管理规定》），教育部《关于做好2022年全国硕士研究招生录取工作的通知》（教学司〔2022〕4号）《中南民族大学2022年硕士研究生复试录取办法》（以下简称《复试录取办法》）等文件精神，在确保安全性、公平性和科学性的基础上，为稳妥做好2022年硕士研究生复试录取工作，结合我院实际，制定本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一、复试录取工作组织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中华民族共同体研究院（下称“研究院”）2022年研究生复试录取工作采取网络远程面试方式进行。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研究院成立招生复试工作领导小组，具体领导、组织我院的复试、录取工作。由研究院书记、院长、分管研究生工作的副院长以及学科负责人统筹安排，分为面试工作组、纪律监督组、工作保障组等，确保复试工作正常进行。复试工作领导小组职责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1.根据学校《复试录取办法》，制订本单位复试录取细则并组织实施；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2.指导复试工作。指导成立复试小组，监督协助开展复试工作；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3.遴选面试教师，开展培训；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4.审核考生的报考资格，确定复试名单；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5.组织命题、评卷、复试、思想政治素质与道德品质考核和录取等工作，并做好相应的安全保密工作；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6.统筹做好疫情防控、政策宣传、舆情应对、信息公示等工作；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7.做好考生政策解读、咨询等工作；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8.做好其他相关工作。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二、复试名单确定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初试成绩必须符合第一志愿报考专业在一区的全国初试成绩基本要求。详见“附件一：中南民族大学2022年硕士研究生复试录取办法”。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复试名单确定后，将在研究院网站上进行公示。公示后，通过“中国研究生招生信息网”向调剂复试考生发送复试通知，考生需在规定时间内确认并按时参加复试，否则视为自动放弃复试资格。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我院2022年硕士研究生拟招生普通计划10人。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三、复试具体工作安排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（一）资格审核、交费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3月30日上午8:30-10:30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须按时通过企业微信提交准考证、身份证和毕业证书（2022年的应届本科毕业生提供学生证）等相关材料扫描件或照片。复试之前将对考生的报名资格进行严格审查，对弄虚作假、不符合教育部报考规定者，不予复试。不同类别的复试考生须按照如下表格所列要求提交资格审查材料。</w:t>
      </w:r>
    </w:p>
    <w:tbl>
      <w:tblPr>
        <w:tblW w:w="897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090"/>
        <w:gridCol w:w="1530"/>
        <w:gridCol w:w="292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3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材料内容</w:t>
            </w:r>
          </w:p>
        </w:tc>
        <w:tc>
          <w:tcPr>
            <w:tcW w:w="15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应届本科毕业生和成人高校应届本科毕业生</w:t>
            </w:r>
          </w:p>
        </w:tc>
        <w:tc>
          <w:tcPr>
            <w:tcW w:w="29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往届生毕业生（含普通本科毕业生、已取得毕业证的自考、网络教育考生和高职高专毕业生）</w:t>
            </w:r>
          </w:p>
        </w:tc>
        <w:tc>
          <w:tcPr>
            <w:tcW w:w="14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未取得毕业证的自考、网络教育本科生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pPr>
            <w:r>
              <w:rPr>
                <w:color w:val="auto"/>
                <w:sz w:val="18"/>
                <w:szCs w:val="18"/>
                <w:bdr w:val="none" w:color="auto" w:sz="0" w:space="0"/>
              </w:rPr>
              <w:t>准考证</w:t>
            </w:r>
          </w:p>
        </w:tc>
        <w:tc>
          <w:tcPr>
            <w:tcW w:w="15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pPr>
            <w:r>
              <w:rPr>
                <w:color w:val="auto"/>
                <w:sz w:val="18"/>
                <w:szCs w:val="18"/>
                <w:bdr w:val="none" w:color="auto" w:sz="0" w:space="0"/>
              </w:rPr>
              <w:t>身份证复印件</w:t>
            </w:r>
          </w:p>
        </w:tc>
        <w:tc>
          <w:tcPr>
            <w:tcW w:w="15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pPr>
            <w:r>
              <w:rPr>
                <w:color w:val="auto"/>
                <w:sz w:val="18"/>
                <w:szCs w:val="18"/>
                <w:bdr w:val="none" w:color="auto" w:sz="0" w:space="0"/>
              </w:rPr>
              <w:t>政治思想鉴定表（样表附后）</w:t>
            </w:r>
          </w:p>
        </w:tc>
        <w:tc>
          <w:tcPr>
            <w:tcW w:w="15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pPr>
            <w:r>
              <w:rPr>
                <w:color w:val="auto"/>
                <w:sz w:val="18"/>
                <w:szCs w:val="18"/>
                <w:bdr w:val="none" w:color="auto" w:sz="0" w:space="0"/>
              </w:rPr>
              <w:t>本科（或专科）成绩单（要盖章）</w:t>
            </w:r>
          </w:p>
        </w:tc>
        <w:tc>
          <w:tcPr>
            <w:tcW w:w="15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pPr>
            <w:r>
              <w:rPr>
                <w:color w:val="auto"/>
                <w:sz w:val="18"/>
                <w:szCs w:val="18"/>
                <w:bdr w:val="none" w:color="auto" w:sz="0" w:space="0"/>
              </w:rPr>
              <w:t>教育部学历证书电子注册备案表或中国高等教育学历认证报告</w:t>
            </w:r>
          </w:p>
        </w:tc>
        <w:tc>
          <w:tcPr>
            <w:tcW w:w="15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pPr>
            <w:r>
              <w:rPr>
                <w:color w:val="auto"/>
                <w:sz w:val="18"/>
                <w:szCs w:val="18"/>
                <w:bdr w:val="none" w:color="auto" w:sz="0" w:space="0"/>
              </w:rPr>
              <w:t>教育部学籍在线验证报告</w:t>
            </w:r>
          </w:p>
        </w:tc>
        <w:tc>
          <w:tcPr>
            <w:tcW w:w="15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pPr>
            <w:r>
              <w:rPr>
                <w:color w:val="auto"/>
                <w:sz w:val="18"/>
                <w:szCs w:val="18"/>
                <w:bdr w:val="none" w:color="auto" w:sz="0" w:space="0"/>
              </w:rPr>
              <w:t>毕业证复印件</w:t>
            </w:r>
          </w:p>
        </w:tc>
        <w:tc>
          <w:tcPr>
            <w:tcW w:w="15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pPr>
            <w:r>
              <w:rPr>
                <w:color w:val="auto"/>
                <w:sz w:val="18"/>
                <w:szCs w:val="18"/>
                <w:bdr w:val="none" w:color="auto" w:sz="0" w:space="0"/>
              </w:rPr>
              <w:t>学生证复印件</w:t>
            </w:r>
          </w:p>
        </w:tc>
        <w:tc>
          <w:tcPr>
            <w:tcW w:w="15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pPr>
            <w:r>
              <w:rPr>
                <w:color w:val="auto"/>
                <w:sz w:val="18"/>
                <w:szCs w:val="18"/>
                <w:bdr w:val="none" w:color="auto" w:sz="0" w:space="0"/>
              </w:rPr>
              <w:t>省级高等教育自学考试办公室或网络教育高校出具的相关证明</w:t>
            </w:r>
          </w:p>
        </w:tc>
        <w:tc>
          <w:tcPr>
            <w:tcW w:w="15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pPr>
            <w:r>
              <w:rPr>
                <w:color w:val="auto"/>
                <w:sz w:val="18"/>
                <w:szCs w:val="18"/>
                <w:bdr w:val="none" w:color="auto" w:sz="0" w:space="0"/>
              </w:rPr>
              <w:t>网络远程复试考生诚信承诺书</w:t>
            </w:r>
          </w:p>
        </w:tc>
        <w:tc>
          <w:tcPr>
            <w:tcW w:w="15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pPr>
            <w:r>
              <w:rPr>
                <w:color w:val="auto"/>
                <w:sz w:val="18"/>
                <w:szCs w:val="18"/>
                <w:bdr w:val="none" w:color="auto" w:sz="0" w:space="0"/>
              </w:rPr>
              <w:t>√</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特别提示：对弄虚作假者，不论何时，一经查实，即按有关规定取消复试、录取资格或学籍。未经资格审查或资格审查未通过的考生不予复试。所有被录取的新生，入学时均须审查学历毕业证书，无法提供毕业证书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每位复试考生需在线缴纳复试费100元。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包括综合测试和外语水平测试（包括听力及口语测试）。综合测试和外语水平测试分别以面试的方式进行。每位考生的综合测试和外语水平测试时间不少于25分钟。复试全程将进行录音录像。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1.综合测试及外语水平测试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测试时间：3月31日 14:30-17:30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（系统调试及模拟复试时间：3月30日15:00-17:00）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着重从以下几个方面对考生进行考察：一是全面考核考生对本学科（专业）理论知识和应用技能掌握程度，利用所学理论发现、分析和解决问题的能力，对本学科发展动态的了解以及在本专业领域发展的潜力；二是思想政治素质和道德品质；三是本学科（专业）以外的学习、科研、社会实践（学生工作、社团活动、志愿服务等）或实际工作表现等方面的情况；四是事业心、责任感、纪律性（遵纪守法）、协作性和心理健康情况；五是人文素养；六是举止、表达和礼仪等。尽可能采用综合性、开放性的能力型试题。满分为200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综合测试试题参考《中南民族大学2022年硕士研究生入学考试招生专业、考试科目设置及参考书目一览表》中的复试科目及参考书上进行命制。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外语水平测试测试考生听力及口语能力。满分为100分。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每位考生参加综合测试和外语水平测试时间一般不少于25分钟。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 考生个人陈述（不超过5分钟），主要陈述自己的专业知识水平、竞赛培训获奖情况、本科毕业论文内容、拟研究的方向等；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 考生从复试题库中随机抽取复试试题；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 考生对抽取的复试试题进行回答；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 复试面试教师根据考生陈述情况随机提问，考生当场回答问题。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（2）题型及内容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 题型：综合性、开放性的能力型试题。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 内容范围：民族理论与民族政策、中华民族共同体重要论述等专业基础知识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 试题从复试试题库中随机抽取，复试试题不重复。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同等学力考生加试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同等学力参加复试的考生（高职高专毕业生、本科结业生），除复试外，还须加试《公共政策》、《民族理论与民族政策》两门课程（注：成人教育应届本科毕业生及尚未取得本科毕业证书的自考和网络教育考生，在复试中也须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加试方式为面试，满分为100分，60分及格。加试成绩不及格者不予录取。加试时间不少于20分钟。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考试时间：3月31日下午 17:30-18:30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复试成绩计算（满分300分）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综合测试成绩=各位面试教师成绩之和÷面试教师人数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外语水平测试成绩=各位测试教师成绩之和÷测试教师人数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复试成绩=综合测试成绩+外语水平测试成绩。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复试成绩占总成绩的权重为30%。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总成绩=初试成绩×70％+[（复试成绩÷3）×5]×30％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以下情况属于复试不合格，不予录取：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（1）复试成绩低于180分；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（2）综合测试成绩低于120分。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（一）调剂系统开放时间：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我院首次开放调剂系统（“中国研究生招生信息网调剂系统”）时间待研招网调剂系统开放后另行公布。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（二）接收调剂专业、调剂名额及要求</w:t>
      </w:r>
    </w:p>
    <w:tbl>
      <w:tblPr>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1255"/>
        <w:gridCol w:w="1265"/>
        <w:gridCol w:w="1185"/>
        <w:gridCol w:w="985"/>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blCellSpacing w:w="0" w:type="dxa"/>
          <w:jc w:val="center"/>
        </w:trPr>
        <w:tc>
          <w:tcPr>
            <w:tcW w:w="1255" w:type="dxa"/>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rPr>
                <w:rFonts w:hint="eastAsia" w:ascii="宋体" w:hAnsi="宋体" w:eastAsia="宋体" w:cs="宋体"/>
                <w:sz w:val="24"/>
                <w:szCs w:val="24"/>
              </w:rPr>
            </w:pPr>
            <w:r>
              <w:rPr>
                <w:rFonts w:hint="eastAsia" w:ascii="宋体" w:hAnsi="宋体" w:eastAsia="宋体" w:cs="宋体"/>
                <w:caps w:val="0"/>
                <w:color w:val="auto"/>
                <w:spacing w:val="0"/>
                <w:sz w:val="24"/>
                <w:szCs w:val="24"/>
                <w:bdr w:val="none" w:color="auto" w:sz="0" w:space="0"/>
              </w:rPr>
              <w:t>专业代码</w:t>
            </w:r>
          </w:p>
        </w:tc>
        <w:tc>
          <w:tcPr>
            <w:tcW w:w="1265" w:type="dxa"/>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rPr>
                <w:rFonts w:hint="eastAsia" w:ascii="宋体" w:hAnsi="宋体" w:eastAsia="宋体" w:cs="宋体"/>
                <w:sz w:val="24"/>
                <w:szCs w:val="24"/>
              </w:rPr>
            </w:pPr>
            <w:r>
              <w:rPr>
                <w:rFonts w:hint="eastAsia" w:ascii="宋体" w:hAnsi="宋体" w:eastAsia="宋体" w:cs="宋体"/>
                <w:caps w:val="0"/>
                <w:color w:val="auto"/>
                <w:spacing w:val="0"/>
                <w:sz w:val="24"/>
                <w:szCs w:val="24"/>
                <w:bdr w:val="none" w:color="auto" w:sz="0" w:space="0"/>
              </w:rPr>
              <w:t>专业名称</w:t>
            </w:r>
          </w:p>
        </w:tc>
        <w:tc>
          <w:tcPr>
            <w:tcW w:w="1185" w:type="dxa"/>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rPr>
                <w:rFonts w:hint="eastAsia" w:ascii="宋体" w:hAnsi="宋体" w:eastAsia="宋体" w:cs="宋体"/>
                <w:sz w:val="24"/>
                <w:szCs w:val="24"/>
              </w:rPr>
            </w:pPr>
            <w:r>
              <w:rPr>
                <w:rFonts w:hint="eastAsia" w:ascii="宋体" w:hAnsi="宋体" w:eastAsia="宋体" w:cs="宋体"/>
                <w:caps w:val="0"/>
                <w:color w:val="auto"/>
                <w:spacing w:val="0"/>
                <w:sz w:val="24"/>
                <w:szCs w:val="24"/>
                <w:bdr w:val="none" w:color="auto" w:sz="0" w:space="0"/>
              </w:rPr>
              <w:t>学习方式</w:t>
            </w:r>
          </w:p>
        </w:tc>
        <w:tc>
          <w:tcPr>
            <w:tcW w:w="985" w:type="dxa"/>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rPr>
                <w:rFonts w:hint="eastAsia" w:ascii="宋体" w:hAnsi="宋体" w:eastAsia="宋体" w:cs="宋体"/>
                <w:sz w:val="24"/>
                <w:szCs w:val="24"/>
              </w:rPr>
            </w:pPr>
            <w:r>
              <w:rPr>
                <w:rFonts w:hint="eastAsia" w:ascii="宋体" w:hAnsi="宋体" w:eastAsia="宋体" w:cs="宋体"/>
                <w:caps w:val="0"/>
                <w:color w:val="auto"/>
                <w:spacing w:val="0"/>
                <w:sz w:val="24"/>
                <w:szCs w:val="24"/>
                <w:bdr w:val="none" w:color="auto" w:sz="0" w:space="0"/>
              </w:rPr>
              <w:t>拟调剂人数</w:t>
            </w:r>
          </w:p>
        </w:tc>
        <w:tc>
          <w:tcPr>
            <w:tcW w:w="4445" w:type="dxa"/>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rPr>
                <w:rFonts w:hint="eastAsia" w:ascii="宋体" w:hAnsi="宋体" w:eastAsia="宋体" w:cs="宋体"/>
                <w:sz w:val="24"/>
                <w:szCs w:val="24"/>
              </w:rPr>
            </w:pPr>
            <w:r>
              <w:rPr>
                <w:rFonts w:hint="eastAsia" w:ascii="宋体" w:hAnsi="宋体" w:eastAsia="宋体" w:cs="宋体"/>
                <w:caps w:val="0"/>
                <w:color w:val="auto"/>
                <w:spacing w:val="0"/>
                <w:sz w:val="24"/>
                <w:szCs w:val="24"/>
                <w:bdr w:val="none" w:color="auto" w:sz="0" w:space="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55" w:type="dxa"/>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rPr>
                <w:rFonts w:hint="eastAsia" w:ascii="宋体" w:hAnsi="宋体" w:eastAsia="宋体" w:cs="宋体"/>
                <w:sz w:val="24"/>
                <w:szCs w:val="24"/>
              </w:rPr>
            </w:pPr>
            <w:r>
              <w:rPr>
                <w:rFonts w:hint="eastAsia" w:ascii="宋体" w:hAnsi="宋体" w:eastAsia="宋体" w:cs="宋体"/>
                <w:caps w:val="0"/>
                <w:color w:val="auto"/>
                <w:spacing w:val="0"/>
                <w:sz w:val="24"/>
                <w:szCs w:val="24"/>
                <w:bdr w:val="none" w:color="auto" w:sz="0" w:space="0"/>
                <w:lang w:val="en-US"/>
              </w:rPr>
              <w:t>030402</w:t>
            </w:r>
          </w:p>
        </w:tc>
        <w:tc>
          <w:tcPr>
            <w:tcW w:w="1265" w:type="dxa"/>
            <w:shd w:val="clear"/>
            <w:tcMar>
              <w:left w:w="105" w:type="dxa"/>
              <w:right w:w="105" w:type="dxa"/>
            </w:tcMar>
            <w:vAlign w:val="center"/>
          </w:tcPr>
          <w:p>
            <w:pPr>
              <w:pStyle w:val="2"/>
              <w:keepNext w:val="0"/>
              <w:keepLines w:val="0"/>
              <w:widowControl/>
              <w:suppressLineNumbers w:val="0"/>
              <w:spacing w:after="0" w:afterAutospacing="0" w:line="240" w:lineRule="auto"/>
              <w:ind w:left="0" w:firstLine="0"/>
              <w:jc w:val="center"/>
              <w:rPr>
                <w:rFonts w:hint="eastAsia" w:ascii="宋体" w:hAnsi="宋体" w:eastAsia="宋体" w:cs="宋体"/>
                <w:sz w:val="24"/>
                <w:szCs w:val="24"/>
              </w:rPr>
            </w:pPr>
            <w:r>
              <w:rPr>
                <w:rFonts w:hint="eastAsia" w:ascii="宋体" w:hAnsi="宋体" w:eastAsia="宋体" w:cs="宋体"/>
                <w:caps w:val="0"/>
                <w:color w:val="auto"/>
                <w:spacing w:val="0"/>
                <w:sz w:val="24"/>
                <w:szCs w:val="24"/>
                <w:bdr w:val="none" w:color="auto" w:sz="0" w:space="0"/>
              </w:rPr>
              <w:t>马克思主义民族理论与政策</w:t>
            </w:r>
          </w:p>
        </w:tc>
        <w:tc>
          <w:tcPr>
            <w:tcW w:w="1185" w:type="dxa"/>
            <w:shd w:val="clear"/>
            <w:tcMar>
              <w:left w:w="105" w:type="dxa"/>
              <w:right w:w="105" w:type="dxa"/>
            </w:tcMar>
            <w:vAlign w:val="center"/>
          </w:tcPr>
          <w:p>
            <w:pPr>
              <w:pStyle w:val="2"/>
              <w:keepNext w:val="0"/>
              <w:keepLines w:val="0"/>
              <w:widowControl/>
              <w:suppressLineNumbers w:val="0"/>
              <w:spacing w:after="0" w:afterAutospacing="0"/>
              <w:jc w:val="center"/>
              <w:textAlignment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全日制</w:t>
            </w:r>
          </w:p>
        </w:tc>
        <w:tc>
          <w:tcPr>
            <w:tcW w:w="985" w:type="dxa"/>
            <w:shd w:val="clear"/>
            <w:tcMar>
              <w:left w:w="105" w:type="dxa"/>
              <w:right w:w="105" w:type="dxa"/>
            </w:tcMar>
            <w:vAlign w:val="center"/>
          </w:tcPr>
          <w:p>
            <w:pPr>
              <w:pStyle w:val="2"/>
              <w:keepNext w:val="0"/>
              <w:keepLines w:val="0"/>
              <w:widowControl/>
              <w:suppressLineNumbers w:val="0"/>
              <w:spacing w:after="0" w:afterAutospacing="0"/>
              <w:jc w:val="center"/>
              <w:textAlignment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lang w:val="en-US"/>
              </w:rPr>
              <w:t>7</w:t>
            </w:r>
          </w:p>
        </w:tc>
        <w:tc>
          <w:tcPr>
            <w:tcW w:w="4445" w:type="dxa"/>
            <w:shd w:val="clear"/>
            <w:tcMar>
              <w:left w:w="105" w:type="dxa"/>
              <w:right w:w="105" w:type="dxa"/>
            </w:tcMar>
            <w:vAlign w:val="center"/>
          </w:tcPr>
          <w:p>
            <w:pPr>
              <w:pStyle w:val="2"/>
              <w:keepNext w:val="0"/>
              <w:keepLines w:val="0"/>
              <w:widowControl/>
              <w:suppressLineNumbers w:val="0"/>
              <w:spacing w:after="0" w:afterAutospacing="0"/>
              <w:textAlignment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凡参加</w:t>
            </w:r>
            <w:r>
              <w:rPr>
                <w:rFonts w:hint="eastAsia" w:ascii="宋体" w:hAnsi="宋体" w:eastAsia="宋体" w:cs="宋体"/>
                <w:caps w:val="0"/>
                <w:spacing w:val="0"/>
                <w:sz w:val="24"/>
                <w:szCs w:val="24"/>
                <w:bdr w:val="none" w:color="auto" w:sz="0" w:space="0"/>
                <w:lang w:val="en-US"/>
              </w:rPr>
              <w:t>2022</w:t>
            </w:r>
            <w:r>
              <w:rPr>
                <w:rFonts w:hint="eastAsia" w:ascii="宋体" w:hAnsi="宋体" w:eastAsia="宋体" w:cs="宋体"/>
                <w:caps w:val="0"/>
                <w:spacing w:val="0"/>
                <w:sz w:val="24"/>
                <w:szCs w:val="24"/>
                <w:bdr w:val="none" w:color="auto" w:sz="0" w:space="0"/>
              </w:rPr>
              <w:t>年全国硕士研究生考试：初试成绩必须符合第一志愿报考专业在一区的全国初试成绩基本要求；原报考专业代码为</w:t>
            </w:r>
            <w:r>
              <w:rPr>
                <w:rFonts w:hint="eastAsia" w:ascii="宋体" w:hAnsi="宋体" w:eastAsia="宋体" w:cs="宋体"/>
                <w:caps w:val="0"/>
                <w:spacing w:val="0"/>
                <w:sz w:val="24"/>
                <w:szCs w:val="24"/>
                <w:bdr w:val="none" w:color="auto" w:sz="0" w:space="0"/>
                <w:lang w:val="en-US"/>
              </w:rPr>
              <w:t>0304</w:t>
            </w:r>
            <w:r>
              <w:rPr>
                <w:rFonts w:hint="eastAsia" w:ascii="宋体" w:hAnsi="宋体" w:eastAsia="宋体" w:cs="宋体"/>
                <w:caps w:val="0"/>
                <w:spacing w:val="0"/>
                <w:sz w:val="24"/>
                <w:szCs w:val="24"/>
                <w:bdr w:val="none" w:color="auto" w:sz="0" w:space="0"/>
              </w:rPr>
              <w:t>、</w:t>
            </w:r>
            <w:r>
              <w:rPr>
                <w:rFonts w:hint="eastAsia" w:ascii="宋体" w:hAnsi="宋体" w:eastAsia="宋体" w:cs="宋体"/>
                <w:caps w:val="0"/>
                <w:spacing w:val="0"/>
                <w:sz w:val="24"/>
                <w:szCs w:val="24"/>
                <w:bdr w:val="none" w:color="auto" w:sz="0" w:space="0"/>
                <w:lang w:val="en-US"/>
              </w:rPr>
              <w:t>0305</w:t>
            </w:r>
            <w:r>
              <w:rPr>
                <w:rFonts w:hint="eastAsia" w:ascii="宋体" w:hAnsi="宋体" w:eastAsia="宋体" w:cs="宋体"/>
                <w:caps w:val="0"/>
                <w:spacing w:val="0"/>
                <w:sz w:val="24"/>
                <w:szCs w:val="24"/>
                <w:bdr w:val="none" w:color="auto" w:sz="0" w:space="0"/>
              </w:rPr>
              <w:t>开头的专业；第一学历所学专业为</w:t>
            </w:r>
            <w:r>
              <w:rPr>
                <w:rFonts w:hint="eastAsia" w:ascii="宋体" w:hAnsi="宋体" w:eastAsia="宋体" w:cs="宋体"/>
                <w:caps w:val="0"/>
                <w:spacing w:val="0"/>
                <w:sz w:val="24"/>
                <w:szCs w:val="24"/>
                <w:bdr w:val="none" w:color="auto" w:sz="0" w:space="0"/>
                <w:lang w:val="en-US"/>
              </w:rPr>
              <w:t>0302</w:t>
            </w:r>
            <w:r>
              <w:rPr>
                <w:rFonts w:hint="eastAsia" w:ascii="宋体" w:hAnsi="宋体" w:eastAsia="宋体" w:cs="宋体"/>
                <w:caps w:val="0"/>
                <w:spacing w:val="0"/>
                <w:sz w:val="24"/>
                <w:szCs w:val="24"/>
                <w:bdr w:val="none" w:color="auto" w:sz="0" w:space="0"/>
              </w:rPr>
              <w:t>、</w:t>
            </w:r>
            <w:r>
              <w:rPr>
                <w:rFonts w:hint="eastAsia" w:ascii="宋体" w:hAnsi="宋体" w:eastAsia="宋体" w:cs="宋体"/>
                <w:caps w:val="0"/>
                <w:spacing w:val="0"/>
                <w:sz w:val="24"/>
                <w:szCs w:val="24"/>
                <w:bdr w:val="none" w:color="auto" w:sz="0" w:space="0"/>
                <w:lang w:val="en-US"/>
              </w:rPr>
              <w:t>0303</w:t>
            </w:r>
            <w:r>
              <w:rPr>
                <w:rFonts w:hint="eastAsia" w:ascii="宋体" w:hAnsi="宋体" w:eastAsia="宋体" w:cs="宋体"/>
                <w:caps w:val="0"/>
                <w:spacing w:val="0"/>
                <w:sz w:val="24"/>
                <w:szCs w:val="24"/>
                <w:bdr w:val="none" w:color="auto" w:sz="0" w:space="0"/>
              </w:rPr>
              <w:t>、</w:t>
            </w:r>
            <w:r>
              <w:rPr>
                <w:rFonts w:hint="eastAsia" w:ascii="宋体" w:hAnsi="宋体" w:eastAsia="宋体" w:cs="宋体"/>
                <w:caps w:val="0"/>
                <w:spacing w:val="0"/>
                <w:sz w:val="24"/>
                <w:szCs w:val="24"/>
                <w:bdr w:val="none" w:color="auto" w:sz="0" w:space="0"/>
                <w:lang w:val="en-US"/>
              </w:rPr>
              <w:t>0304</w:t>
            </w:r>
            <w:r>
              <w:rPr>
                <w:rFonts w:hint="eastAsia" w:ascii="宋体" w:hAnsi="宋体" w:eastAsia="宋体" w:cs="宋体"/>
                <w:caps w:val="0"/>
                <w:spacing w:val="0"/>
                <w:sz w:val="24"/>
                <w:szCs w:val="24"/>
                <w:bdr w:val="none" w:color="auto" w:sz="0" w:space="0"/>
              </w:rPr>
              <w:t>、</w:t>
            </w:r>
            <w:r>
              <w:rPr>
                <w:rFonts w:hint="eastAsia" w:ascii="宋体" w:hAnsi="宋体" w:eastAsia="宋体" w:cs="宋体"/>
                <w:caps w:val="0"/>
                <w:spacing w:val="0"/>
                <w:sz w:val="24"/>
                <w:szCs w:val="24"/>
                <w:bdr w:val="none" w:color="auto" w:sz="0" w:space="0"/>
                <w:lang w:val="en-US"/>
              </w:rPr>
              <w:t>0305</w:t>
            </w:r>
            <w:r>
              <w:rPr>
                <w:rFonts w:hint="eastAsia" w:ascii="宋体" w:hAnsi="宋体" w:eastAsia="宋体" w:cs="宋体"/>
                <w:caps w:val="0"/>
                <w:spacing w:val="0"/>
                <w:sz w:val="24"/>
                <w:szCs w:val="24"/>
                <w:bdr w:val="none" w:color="auto" w:sz="0" w:space="0"/>
              </w:rPr>
              <w:t>开头的专业，符合上述条件的考生。</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（三）调剂考生遴选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遴选参加复试考生的依据：原报考专业代码为0304、0305开头的专业，且毕业专业为0302、0303、0304、0305开头的专业，符合条件的考生以初试成绩择优遴选，研究院研究生招生复试工作领导小组确定调剂考生名单并上报研究生院，经研究生院批准之后，在研究院网站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对申请同一学科（专业）、初试科目完全相同的调剂考生，研究院按考生初试成绩总分择优遴选进入复试的考生名单。不以考生提交调剂志愿的时间先后顺序等非学业水平标准作为遴选依据。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我院只接受统考外语为英语的调剂考生，不接受小语种考生调剂。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调剂复试实行差额复试，按不低于调剂指标的120%确定复试考生。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（四）调剂程序及要求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所有调剂考生，均须通过中国研招网（http://yz.chsi.com.cn/）的“全国硕士生招生调剂服务系统”申请调剂，未通过调剂服务系统调剂的一律无效。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研究院在“全国硕士生招生调剂服务系统”公布需调剂的专业、调剂缺额及分数和其他学术要求。每次开放调剂系统持续时间不得少于12小时。我院设定的考生志愿系统自动解锁时间为24小时，24小时后，考生可以重新申报其他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3．系统开放时间结束后，我院开始确定符合调剂要求的考生名单，经研究生院审核后，通过“全国硕士生招生调剂服务系统”向考生发送复试通知。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4．考生接到复试通知短信后，应在4小时内尽快确认接收复试通知，并按照我院的复试安排参加复试。未在规定时间内确认接受复试通知的调剂考生视为自愿放弃复试资格。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5．确认接受复试通知的考生，应于复试前指定时间（另行通知）线上报到、资格审查和缴费。考生应保持手机畅通，随时接收培养单位复试的相关短信通知。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复试完成后，我院将根据复试结果和调剂招生名额择优确定待录取名单，经研究生院批准之后通过“全国硕士生招生调剂服务系统”向复试合格且拟录取的考生发送“待录取”通知，收到“待录取”通知的考生须在6小时内确认接受“待录取”，逾期不确认接受“待录取”将视为考生自愿放弃“待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7．考生接受“待录取”通知后，研究院公布待录取调剂考生名单并公示10个工作日。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8．我院将视调剂情况可能多次开放调剂网进行调剂（每次调剂开放时间不少于12小时），我院将根据复试批次，按调剂考生总成绩（初试总成绩+复试总成绩）分批次排名，分批次录取。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通过“全国硕士生招生调剂服务系统”确认接受我校“待录取”通知的考生，我院不再接受考生放弃我校“待录取”资格的申请；通过“全国硕士生招生调剂服务系统”确认接受了其他招生单位、或其他培养单位、或其他专业“待录取”知的考生，视为自动放弃录取资格，我院将按总成绩高低顺次录取该调剂专业下一位复试合格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（五）调剂注意事项及特别提示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1．复试确认时须填写常用联系手机号码并保持手机畅通。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2．申请调剂的考生务必及时确认接受“全国硕士生招生调剂服务系统”复试通知和待录取通知，逾期视为自动放弃复试资格和待录取资格。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接收到复试通知的考生，务必仔细阅读我校研究生院和研究院网站主页公布的复试安排及相关规定。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所有拟录取的考生均须参加复试。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复试合格的考生，将根据我院的招生计划、考生的初试和复试成绩以及思想政治表现和身心健康状况等择优确定拟录取名单。一志愿考生优先录取。若有放弃录取资格的情况，则依次往后递补。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录取考生入学时，须参加学校统一组织的体检。体检结果不符合录取要求者，将取消录取资格。具体事宜，新生入校后另行通知。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八、咨询和投诉、举报电话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咨询电话：王老师027-67842117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举报电话：李老师027-67842087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本细则由中华民族共同体研究院负责解释。未详尽事宜参照《中南民族大学2022年硕士研究生复试录取办法》执行。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B542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2022-04-13T09:12:46Z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