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心理学院2022年硕士研究生招生调剂实施细则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157" w:beforeLines="50" w:beforeAutospacing="0" w:after="157" w:afterLines="50" w:afterAutospacing="0" w:line="360" w:lineRule="auto"/>
        <w:ind w:left="0" w:firstLine="480" w:firstLineChars="20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根据《成都医学院2022年硕士研究生招生复试调剂录取工作办法》的规定和要求，结合本院实际情况，成都医学院心理学院应用心理专业拟接收调剂生，具体调剂办法及流程如下：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157" w:beforeLines="50" w:beforeAutospacing="0" w:after="157" w:afterLines="50" w:afterAutospacing="0" w:line="360" w:lineRule="auto"/>
        <w:ind w:left="0" w:firstLine="482" w:firstLineChars="200"/>
        <w:jc w:val="both"/>
        <w:textAlignment w:val="auto"/>
        <w:rPr>
          <w:rFonts w:hint="eastAsia" w:ascii="宋体" w:hAnsi="宋体" w:eastAsia="宋体" w:cs="宋体"/>
          <w:i w:val="0"/>
          <w:iCs w:val="0"/>
          <w:caps w:val="0"/>
          <w:color w:val="auto"/>
          <w:spacing w:val="0"/>
          <w:sz w:val="24"/>
          <w:szCs w:val="24"/>
        </w:rPr>
      </w:pPr>
      <w:r>
        <w:rPr>
          <w:rStyle w:val="5"/>
          <w:rFonts w:hint="eastAsia" w:ascii="宋体" w:hAnsi="宋体" w:eastAsia="宋体" w:cs="宋体"/>
          <w:i w:val="0"/>
          <w:iCs w:val="0"/>
          <w:caps w:val="0"/>
          <w:color w:val="auto"/>
          <w:spacing w:val="0"/>
          <w:sz w:val="24"/>
          <w:szCs w:val="24"/>
          <w:shd w:val="clear" w:fill="FFFFFF"/>
        </w:rPr>
        <w:t>一、接收调剂专业及数量</w:t>
      </w:r>
    </w:p>
    <w:tbl>
      <w:tblPr>
        <w:tblW w:w="9638" w:type="dxa"/>
        <w:jc w:val="center"/>
        <w:tblCellSpacing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Layout w:type="autofit"/>
        <w:tblCellMar>
          <w:top w:w="15" w:type="dxa"/>
          <w:left w:w="15" w:type="dxa"/>
          <w:bottom w:w="15" w:type="dxa"/>
          <w:right w:w="15" w:type="dxa"/>
        </w:tblCellMar>
      </w:tblPr>
      <w:tblGrid>
        <w:gridCol w:w="2596"/>
        <w:gridCol w:w="2218"/>
        <w:gridCol w:w="48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15" w:type="dxa"/>
            <w:left w:w="15" w:type="dxa"/>
            <w:bottom w:w="15" w:type="dxa"/>
            <w:right w:w="15" w:type="dxa"/>
          </w:tblCellMar>
        </w:tblPrEx>
        <w:trPr>
          <w:trHeight w:val="567" w:hRule="atLeast"/>
          <w:tblCellSpacing w:w="0" w:type="dxa"/>
          <w:jc w:val="center"/>
        </w:trPr>
        <w:tc>
          <w:tcPr>
            <w:tcW w:w="3000" w:type="dxa"/>
            <w:tcBorders>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tLeast"/>
              <w:jc w:val="center"/>
              <w:rPr>
                <w:rFonts w:hint="eastAsia" w:ascii="宋体" w:hAnsi="宋体" w:eastAsia="宋体" w:cs="宋体"/>
                <w:color w:val="auto"/>
              </w:rPr>
            </w:pPr>
            <w:r>
              <w:rPr>
                <w:rFonts w:hint="eastAsia" w:ascii="宋体" w:hAnsi="宋体" w:eastAsia="宋体" w:cs="宋体"/>
                <w:caps w:val="0"/>
                <w:color w:val="auto"/>
                <w:spacing w:val="0"/>
                <w:sz w:val="24"/>
                <w:szCs w:val="24"/>
                <w:bdr w:val="none" w:color="auto" w:sz="0" w:space="0"/>
              </w:rPr>
              <w:t>拟接收调剂专业</w:t>
            </w:r>
          </w:p>
        </w:tc>
        <w:tc>
          <w:tcPr>
            <w:tcW w:w="2460" w:type="dxa"/>
            <w:tcBorders>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line="360" w:lineRule="atLeast"/>
              <w:jc w:val="center"/>
              <w:rPr>
                <w:rFonts w:hint="eastAsia" w:ascii="宋体" w:hAnsi="宋体" w:eastAsia="宋体" w:cs="宋体"/>
                <w:color w:val="auto"/>
              </w:rPr>
            </w:pPr>
            <w:r>
              <w:rPr>
                <w:rFonts w:hint="eastAsia" w:ascii="宋体" w:hAnsi="宋体" w:eastAsia="宋体" w:cs="宋体"/>
                <w:caps w:val="0"/>
                <w:color w:val="auto"/>
                <w:spacing w:val="0"/>
                <w:sz w:val="24"/>
                <w:szCs w:val="24"/>
                <w:bdr w:val="none" w:color="auto" w:sz="0" w:space="0"/>
              </w:rPr>
              <w:t>专业代码</w:t>
            </w:r>
          </w:p>
        </w:tc>
        <w:tc>
          <w:tcPr>
            <w:tcW w:w="5415" w:type="dxa"/>
            <w:tcBorders>
              <w:left w:val="nil"/>
              <w:bottom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tLeast"/>
              <w:jc w:val="center"/>
              <w:rPr>
                <w:rFonts w:hint="eastAsia" w:ascii="宋体" w:hAnsi="宋体" w:eastAsia="宋体" w:cs="宋体"/>
                <w:color w:val="auto"/>
              </w:rPr>
            </w:pPr>
            <w:r>
              <w:rPr>
                <w:rFonts w:hint="eastAsia" w:ascii="宋体" w:hAnsi="宋体" w:eastAsia="宋体" w:cs="宋体"/>
                <w:caps w:val="0"/>
                <w:color w:val="auto"/>
                <w:spacing w:val="0"/>
                <w:sz w:val="24"/>
                <w:szCs w:val="24"/>
                <w:bdr w:val="none" w:color="auto" w:sz="0" w:space="0"/>
              </w:rPr>
              <w:t>拟接收调剂名额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15" w:type="dxa"/>
            <w:left w:w="15" w:type="dxa"/>
            <w:bottom w:w="15" w:type="dxa"/>
            <w:right w:w="15" w:type="dxa"/>
          </w:tblCellMar>
        </w:tblPrEx>
        <w:trPr>
          <w:trHeight w:val="567" w:hRule="atLeast"/>
          <w:tblCellSpacing w:w="0" w:type="dxa"/>
          <w:jc w:val="center"/>
        </w:trPr>
        <w:tc>
          <w:tcPr>
            <w:tcW w:w="450" w:type="dxa"/>
            <w:tcBorders>
              <w:top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tLeast"/>
              <w:jc w:val="center"/>
              <w:rPr>
                <w:rFonts w:hint="eastAsia" w:ascii="宋体" w:hAnsi="宋体" w:eastAsia="宋体" w:cs="宋体"/>
                <w:color w:val="auto"/>
              </w:rPr>
            </w:pPr>
            <w:r>
              <w:rPr>
                <w:rFonts w:hint="eastAsia" w:ascii="宋体" w:hAnsi="宋体" w:eastAsia="宋体" w:cs="宋体"/>
                <w:caps w:val="0"/>
                <w:color w:val="auto"/>
                <w:spacing w:val="0"/>
                <w:sz w:val="24"/>
                <w:szCs w:val="24"/>
                <w:bdr w:val="none" w:color="auto" w:sz="0" w:space="0"/>
              </w:rPr>
              <w:t>应用心理</w:t>
            </w:r>
          </w:p>
        </w:tc>
        <w:tc>
          <w:tcPr>
            <w:tcW w:w="2265" w:type="dxa"/>
            <w:tcBorders>
              <w:top w:val="nil"/>
              <w:left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60" w:lineRule="atLeast"/>
              <w:jc w:val="center"/>
              <w:rPr>
                <w:rFonts w:hint="eastAsia" w:ascii="宋体" w:hAnsi="宋体" w:eastAsia="宋体" w:cs="宋体"/>
                <w:color w:val="auto"/>
              </w:rPr>
            </w:pPr>
            <w:r>
              <w:rPr>
                <w:rFonts w:hint="eastAsia" w:ascii="宋体" w:hAnsi="宋体" w:eastAsia="宋体" w:cs="宋体"/>
                <w:caps w:val="0"/>
                <w:color w:val="auto"/>
                <w:spacing w:val="0"/>
                <w:sz w:val="24"/>
                <w:szCs w:val="24"/>
                <w:bdr w:val="none" w:color="auto" w:sz="0" w:space="0"/>
              </w:rPr>
              <w:t>045400</w:t>
            </w:r>
          </w:p>
        </w:tc>
        <w:tc>
          <w:tcPr>
            <w:tcW w:w="5610" w:type="dxa"/>
            <w:tcBorders>
              <w:top w:val="nil"/>
              <w:left w:val="nil"/>
            </w:tcBorders>
            <w:shd w:val="clear"/>
            <w:tcMar>
              <w:top w:w="0" w:type="dxa"/>
              <w:left w:w="105" w:type="dxa"/>
              <w:bottom w:w="0" w:type="dxa"/>
              <w:right w:w="105" w:type="dxa"/>
            </w:tcMar>
            <w:vAlign w:val="center"/>
          </w:tcPr>
          <w:p>
            <w:pPr>
              <w:pStyle w:val="2"/>
              <w:keepNext w:val="0"/>
              <w:keepLines w:val="0"/>
              <w:widowControl/>
              <w:suppressLineNumbers w:val="0"/>
              <w:spacing w:line="360" w:lineRule="atLeast"/>
              <w:jc w:val="center"/>
              <w:rPr>
                <w:rFonts w:hint="eastAsia" w:ascii="宋体" w:hAnsi="宋体" w:eastAsia="宋体" w:cs="宋体"/>
                <w:color w:val="auto"/>
              </w:rPr>
            </w:pPr>
            <w:r>
              <w:rPr>
                <w:rFonts w:hint="eastAsia" w:ascii="宋体" w:hAnsi="宋体" w:eastAsia="宋体" w:cs="宋体"/>
                <w:caps w:val="0"/>
                <w:color w:val="auto"/>
                <w:spacing w:val="0"/>
                <w:sz w:val="24"/>
                <w:szCs w:val="24"/>
                <w:bdr w:val="none" w:color="auto" w:sz="0" w:space="0"/>
              </w:rPr>
              <w:t>不区分研究方向：3（含1名退役大学生士兵计划）</w:t>
            </w:r>
          </w:p>
        </w:tc>
      </w:tr>
    </w:tbl>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157" w:beforeLines="50" w:beforeAutospacing="0" w:after="157" w:afterLines="50" w:afterAutospacing="0" w:line="360" w:lineRule="auto"/>
        <w:ind w:left="0" w:firstLine="482" w:firstLineChars="200"/>
        <w:jc w:val="both"/>
        <w:textAlignment w:val="auto"/>
        <w:rPr>
          <w:rFonts w:hint="eastAsia" w:ascii="宋体" w:hAnsi="宋体" w:eastAsia="宋体" w:cs="宋体"/>
          <w:b/>
          <w:bCs/>
          <w:i w:val="0"/>
          <w:iCs w:val="0"/>
          <w:caps w:val="0"/>
          <w:color w:val="auto"/>
          <w:spacing w:val="0"/>
          <w:sz w:val="24"/>
          <w:szCs w:val="24"/>
          <w:shd w:val="clear" w:fill="FFFFFF"/>
        </w:rPr>
      </w:pPr>
      <w:r>
        <w:rPr>
          <w:rFonts w:hint="eastAsia" w:ascii="宋体" w:hAnsi="宋体" w:eastAsia="宋体" w:cs="宋体"/>
          <w:b/>
          <w:bCs/>
          <w:i w:val="0"/>
          <w:iCs w:val="0"/>
          <w:caps w:val="0"/>
          <w:color w:val="auto"/>
          <w:spacing w:val="0"/>
          <w:sz w:val="24"/>
          <w:szCs w:val="24"/>
          <w:shd w:val="clear" w:fill="FFFFFF"/>
        </w:rPr>
        <w:t>二、调剂基本要求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157" w:beforeLines="50" w:beforeAutospacing="0" w:after="157" w:afterLines="50" w:afterAutospacing="0" w:line="360" w:lineRule="auto"/>
        <w:ind w:left="0" w:firstLine="480" w:firstLineChars="20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调剂考生除了符合《成都医学院2022年硕士研究生招生复试调剂录取工作办法》的规定和要求外，须符合以下相关专业要求：</w:t>
      </w:r>
    </w:p>
    <w:tbl>
      <w:tblPr>
        <w:tblW w:w="9071"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453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0" w:type="dxa"/>
          <w:jc w:val="center"/>
        </w:trPr>
        <w:tc>
          <w:tcPr>
            <w:tcW w:w="3000" w:type="dxa"/>
            <w:shd w:val="clear"/>
            <w:tcMar>
              <w:top w:w="0" w:type="dxa"/>
              <w:left w:w="105" w:type="dxa"/>
              <w:bottom w:w="0" w:type="dxa"/>
              <w:right w:w="105" w:type="dxa"/>
            </w:tcMar>
            <w:vAlign w:val="center"/>
          </w:tcPr>
          <w:p>
            <w:pPr>
              <w:pStyle w:val="2"/>
              <w:keepNext w:val="0"/>
              <w:keepLines w:val="0"/>
              <w:widowControl/>
              <w:suppressLineNumbers w:val="0"/>
              <w:wordWrap w:val="0"/>
              <w:spacing w:line="360" w:lineRule="atLeas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bdr w:val="none" w:color="auto" w:sz="0" w:space="0"/>
              </w:rPr>
              <w:t>初试成绩</w:t>
            </w:r>
          </w:p>
        </w:tc>
        <w:tc>
          <w:tcPr>
            <w:tcW w:w="3000" w:type="dxa"/>
            <w:shd w:val="clear"/>
            <w:tcMar>
              <w:top w:w="0" w:type="dxa"/>
              <w:left w:w="105" w:type="dxa"/>
              <w:bottom w:w="0" w:type="dxa"/>
              <w:right w:w="105" w:type="dxa"/>
            </w:tcMar>
            <w:vAlign w:val="center"/>
          </w:tcPr>
          <w:p>
            <w:pPr>
              <w:pStyle w:val="2"/>
              <w:keepNext w:val="0"/>
              <w:keepLines w:val="0"/>
              <w:widowControl/>
              <w:suppressLineNumbers w:val="0"/>
              <w:spacing w:line="360" w:lineRule="atLeas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bdr w:val="none" w:color="auto" w:sz="0" w:space="0"/>
              </w:rPr>
              <w:t>第一志愿报考专业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0" w:type="dxa"/>
          <w:jc w:val="center"/>
        </w:trPr>
        <w:tc>
          <w:tcPr>
            <w:tcW w:w="645" w:type="dxa"/>
            <w:shd w:val="clear"/>
            <w:tcMar>
              <w:top w:w="0" w:type="dxa"/>
              <w:left w:w="105" w:type="dxa"/>
              <w:bottom w:w="0" w:type="dxa"/>
              <w:right w:w="105" w:type="dxa"/>
            </w:tcMar>
            <w:vAlign w:val="center"/>
          </w:tcPr>
          <w:p>
            <w:pPr>
              <w:pStyle w:val="2"/>
              <w:keepNext w:val="0"/>
              <w:keepLines w:val="0"/>
              <w:widowControl/>
              <w:suppressLineNumbers w:val="0"/>
              <w:spacing w:line="360" w:lineRule="atLeas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bdr w:val="none" w:color="auto" w:sz="0" w:space="0"/>
              </w:rPr>
              <w:t>总分≥351</w:t>
            </w:r>
          </w:p>
          <w:p>
            <w:pPr>
              <w:pStyle w:val="2"/>
              <w:keepNext w:val="0"/>
              <w:keepLines w:val="0"/>
              <w:widowControl/>
              <w:suppressLineNumbers w:val="0"/>
              <w:spacing w:line="360" w:lineRule="atLeas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bdr w:val="none" w:color="auto" w:sz="0" w:space="0"/>
              </w:rPr>
              <w:t>英语、政治≥51</w:t>
            </w:r>
          </w:p>
          <w:p>
            <w:pPr>
              <w:pStyle w:val="2"/>
              <w:keepNext w:val="0"/>
              <w:keepLines w:val="0"/>
              <w:widowControl/>
              <w:suppressLineNumbers w:val="0"/>
              <w:spacing w:line="360" w:lineRule="atLeas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bdr w:val="none" w:color="auto" w:sz="0" w:space="0"/>
              </w:rPr>
              <w:t>专业综合≥153</w:t>
            </w:r>
          </w:p>
        </w:tc>
        <w:tc>
          <w:tcPr>
            <w:tcW w:w="840" w:type="dxa"/>
            <w:shd w:val="clear"/>
            <w:tcMar>
              <w:top w:w="0" w:type="dxa"/>
              <w:left w:w="105" w:type="dxa"/>
              <w:bottom w:w="0" w:type="dxa"/>
              <w:right w:w="105" w:type="dxa"/>
            </w:tcMar>
            <w:vAlign w:val="center"/>
          </w:tcPr>
          <w:p>
            <w:pPr>
              <w:pStyle w:val="2"/>
              <w:keepNext w:val="0"/>
              <w:keepLines w:val="0"/>
              <w:widowControl/>
              <w:suppressLineNumbers w:val="0"/>
              <w:spacing w:line="360" w:lineRule="atLeas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bdr w:val="none" w:color="auto" w:sz="0" w:space="0"/>
              </w:rPr>
              <w:t>（0402）心理学</w:t>
            </w:r>
          </w:p>
          <w:p>
            <w:pPr>
              <w:pStyle w:val="2"/>
              <w:keepNext w:val="0"/>
              <w:keepLines w:val="0"/>
              <w:widowControl/>
              <w:suppressLineNumbers w:val="0"/>
              <w:spacing w:line="360" w:lineRule="atLeas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bdr w:val="none" w:color="auto" w:sz="0" w:space="0"/>
              </w:rPr>
              <w:t>（0454）应用心理</w:t>
            </w:r>
          </w:p>
        </w:tc>
      </w:tr>
    </w:tbl>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157" w:beforeLines="50" w:beforeAutospacing="0" w:after="157" w:afterLines="50" w:afterAutospacing="0" w:line="360" w:lineRule="auto"/>
        <w:ind w:left="0" w:firstLine="482" w:firstLineChars="200"/>
        <w:jc w:val="both"/>
        <w:textAlignment w:val="auto"/>
        <w:rPr>
          <w:rFonts w:hint="eastAsia" w:ascii="宋体" w:hAnsi="宋体" w:eastAsia="宋体" w:cs="宋体"/>
          <w:b/>
          <w:bCs/>
          <w:i w:val="0"/>
          <w:iCs w:val="0"/>
          <w:caps w:val="0"/>
          <w:color w:val="auto"/>
          <w:spacing w:val="0"/>
          <w:sz w:val="24"/>
          <w:szCs w:val="24"/>
          <w:shd w:val="clear" w:fill="FFFFFF"/>
        </w:rPr>
      </w:pPr>
      <w:r>
        <w:rPr>
          <w:rFonts w:hint="eastAsia" w:ascii="宋体" w:hAnsi="宋体" w:eastAsia="宋体" w:cs="宋体"/>
          <w:b/>
          <w:bCs/>
          <w:i w:val="0"/>
          <w:iCs w:val="0"/>
          <w:caps w:val="0"/>
          <w:color w:val="auto"/>
          <w:spacing w:val="0"/>
          <w:sz w:val="24"/>
          <w:szCs w:val="24"/>
          <w:shd w:val="clear" w:fill="FFFFFF"/>
        </w:rPr>
        <w:t>三、调剂系统开通时间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2022年4月6日00:00-2022年4月6日12:00（北京时间，下同）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所有接到通知参与复试的调剂考生提交资料要求如下：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1.资格审查材料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①所有复试考生：有效居民身份证（正反面）、准考证、政审表；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②应届本科毕业生须提供学生证（或学信网“教育部学籍在线验证报告”）；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③除全日制应届本科毕业生外，须提供毕业证和学位证；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④未能通过学历网上校验的考生须提供学信网“教育部学历证书电子注册备案表”；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⑤“退役大学生士兵计划”复试的考生须提供《入伍批准书》和《退出现役证》；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⑥入学前可取得国家承认本科毕业证书的自学考试和网络教育本科生，自考生须提供自考准考证、注册地自考办打印加盖公章的考生考籍表和专科学历的相关证明材料（专科文凭或学信网的学籍在线验证报告），网教生须提供“学籍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以上材料将于考生录取到校后审核原件。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2.其他材料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①大学期间成绩单原件或档案中成绩单扫描件;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②考生中、英语自述纸质文档（包括思想政治表现、外语水平、业务和科研能力、攻读硕士学位研究计划等）;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③个人简历1份，含一张照片（近期证件照或生活照）;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④科研成果（包括发表论文、专利等）及支撑材料（如有，请附上）;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⑤社会实践总结及支撑材料（如有，可附上）;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⑥毕业论文（如有，需附上）。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3.诚信复试承诺书，须手写签字后扫描或拍照。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便于材料审查，考生须将相关资格审查材料组合成1个pdf文件，命名方式为：审查材料-考生姓名-应用心理；将其他材料组合成1个pdf文件，命名方式为：其他材料-考生姓名-应用心理；诚信复试承诺书单独1个pdf文件，命名方式为：承诺书-考生姓名-应用心理。将以上3个pdf文件压缩打包，命名为调剂+应用心理+姓名，在接到复试通知后发送至邮箱daibing080402@126.com。逾期未提交者，视为自动放弃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注：如政审表无法提供，可先参加复试，如被拟录取，在4月30日前补提交学校审查。如提供虚假信息者，无论何时一经查实，将取消录取资格。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四、调剂程序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1.所有调剂志愿考生都必须在调剂平台（http://yz.chsi.com.cn/）提交调剂志愿。请相关考生关注我院调剂信息，在规定时间内提交调剂志愿。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2.复试为差额复试，复试比例不低于1:1.2。请有意向的调剂考生接到复试通知后，在限定时间内在调剂平台上点击确认“同意参加复试”按钮并按时参加复试。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3.复试方式与时间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采取网络远程复试，复试平台、设备环境要求等详见《成都医学院2022年硕士研究生招生网络远程复试考生须知》（http://yjsy.cmc.edu.cn/info/1016/1788.htm）。请考生提前在电脑和手机等设备上安装相关软件并熟悉操作。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复试前学院会电话通知，组织考生逐一测试。考生应注意着装，应保持发型整洁，素颜、露耳且不可佩戴帽子、墨镜、手表、口罩、耳机、耳饰等。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所有考生必须在2022年4月7日14:30参加系统调试；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2022年4月8日14:00正式复试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（3）复试顺序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当天12:00由系统随机生成考生复试序号，考生可在考生端查看个人序号，按照事先安排的复试次序依次参加复试。要求考生复试前30分钟登录系统候考。考生因非不可抗力超过规定时间15分钟未登录指定网络平台参加复试，且未与学院联系说明情况，则视为自动放弃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4.复试结束后，复试合格的调剂考生我校将通过调剂平台（http://yz.chsi.com.cn/）发送待录取通知。考生须在限定时间内做出明确答复，否则学校可取消待录取资格。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以上信息若与国家有关部门及教育部颁布的规定有不同之处，须按国家有关部门及教育部有关文件的规定执行，并以我校研究生院招生网站公布信息为准。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五、报名费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根据四川省发展和改革委员会、四川省财政厅《关于规范全省教育系统考试考务行政事业性收费的通知》（川发改价格〔2012〕号）文件，研究生复试费为120元/生。通过学信网“招生远程面试系统”缴纳复试费。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英语能力测试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面试时随机抽取专业英语文章，当场线上阅读和翻译，时间5-10分钟。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专业能力测试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根据随机抽取的专业英语文章内容进行专业能力测试，采取面试答辩形式，当场线上回答，时间5-10分钟。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综合能力测试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采取面试答辩形式，时间10-15分钟。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每名考生的面试时间原则上不少于20分钟，复试小组成员独立对考生进行评分。每名考生的复试成绩得分为复试小组成员评分的算术平均值。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七、成绩计算方式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复试成绩（满分100分）=英语能力测试成绩（百分制）×25% + 专业能力测试成绩（百分制）×25% + 综合能力测试成绩（百分制）×50%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总成绩=（初试成绩÷5）×70%+复试成绩×30%。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复试成绩不及格（60分以下）者不予录取。所有成绩按百分制计。依据总成绩，由高至低录取。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考生拟录取后可选择当地二甲及以上医院进行体检（1寸照片贴体检表），加盖公章的体检表原件请于拟录取名单公示发布7个工作日内快递邮件到我院。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收件人：戴老师，收件地址：四川省成都市新都区新都大道783号成都医学院心理学院，电话028-62739703。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十、应急处理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过程中，如遇网络或信号等原因造成的通信效果不佳或中断等故障时，考生切勿慌张，请立即联系学院紧急联系人（戴老师13880810284），按照要求启动应急预案相关措施。如网络3分钟内恢复，可继续答题；超过3分钟，连线后需要重新抽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十一、咨询联系方式</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戴老师  联系电话：028-62739703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十二、申诉受理渠道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心理学院申诉和投诉电话：028-62739701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研究生院申诉和投诉电话：028-62739178</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校纪委办公室申诉和投诉电话：028-62739076</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 xml:space="preserve">成都医学院心理学院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 xml:space="preserve">2022年4月4日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汉仪汉黑简">
    <w:panose1 w:val="00020600040101010101"/>
    <w:charset w:val="86"/>
    <w:family w:val="auto"/>
    <w:pitch w:val="default"/>
    <w:sig w:usb0="A00002FF" w:usb1="3ACF7CFA" w:usb2="00000016"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837328"/>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5</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2022-04-12T08:39:31Z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