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技术研究院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（国家重点实验室、教育部重点实验室、国家工程实验室）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2022年研究生复试录取工作实施细则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切实做好2022年研究院招收攻读硕士研究生的复试录取工作，根据教育部《关于做好2022年全国硕士研究生招生录取工作的通知》、《2022年全国硕士研究生招生工作管理规定》和《武汉纺织大学2022年招收攻读硕士学位研究生复试录取方案》等文件精神，结合研究院研究生招生工作的具体情况，特制定本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一、总体原则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1.坚持按需招生、德智体全面衡量、择优录取、宁缺毋滥；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2.坚持在全面考查的基础上，突出考生的研究创新能力和独立学术思维能力等方面的考核；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3.坚持契合研究领域,侧重点差异，分平台复试；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4.坚持严格复试组织管理，公平、公正、公开；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5.坚持以人为本，严格落实疫情防控要求。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研究院成立招生工作领导小组负责本单位硕士研究生复试和录取相关工作，制定本单位硕士研究生复试工作具体方案并组织实施，对相关人员进行政策、纪律、规则及程序等方面的教育和培训，组织对考生的复试考核，提出拟录取考生名单（招生工作领导小组成员无直系亲属报考研究院2022年硕士研究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三、复试分数线及复试比例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1.复试分数线按照《教育部2022年全国硕士研究生招生考试进入复试的初试成绩基本要求》执行。退役大学生士兵专项计划按学校规定执行。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2.复试实行差额选拔，复试比例不低于120%。复试专业根据生源情况分批开展。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统筹考虑当前疫情防控要求和学校实际情况，2022年研究院硕士研究生的复试方式为网络远程复试，采用研招网复试平台和腾讯会议。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（一）复试报到及资格审查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3月23日10:00前，达到研究院分数线且有意愿参与研究院复试的考生，须通过邮件方式进行报到，同时发送资格审查相关材料，复试时间另行通知。邮件发送要求如下：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1.邮箱地址：m13971478134@163.com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2.发送邮件标题为：“复试报到：姓名+报考专业”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3.资格审查材料包括：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（1）入学考试准考证照片或扫描件；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（2）本人身份证正、反面照片或扫描件；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（3）毕业证、学位证照片或扫描件（应届本科毕业生扫描学生证封面、学号和专业所在页）；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（4）学信网学历(学籍)查询报告照片，未通过网上学历(学籍)校验的考生需提供相关学历（学籍）认证报告的照片或扫描件；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（5）报考“退役大学生士兵”专项硕士研究生招生计划的考生提交本人《入伍批准书》和《退出现役证》照片或扫描件；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（6）《思想政治品德考核表》照片或扫描件；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（7）本人亲笔签名的《诚信复试承诺书》（见武汉纺织大学研究生处网站）照片或扫描件；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以上（1）-（6）项按顺序合并成一个pdf文件，文件名为“文件1：考生姓名+资格审查”；第（7）项单独生成一个pdf文件，文件名为“文件2：考生姓名+复试承诺书”；“文件1+文件2”总大小不超过2M。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研究院将安排专人严格核对考生的报考信息，按报考条件严格审查考生报考资格，对于不符合报考条件者，不予复试。3月21日前，研究院将在网站和“复试QQ群713466592”中反馈资格审查结果。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1.复试内容包括外语能力测试、专业课考核和综合素质三部分，复试成绩外语能力测试占20%，专业课考核占40%，综合素质占40%。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2.专业课考核采用口试方式，在面试环节中以问答进行。根据包括专业（化学、材料科学与工程、纺织科学与工程、材料与化工）分专业考核。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同等学力考生加试两门主干课程,形式为笔试。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3.面试主要考察考生的专业能力与综合素质。面试环节由两部分组成。第一部分是自我介绍（英文）、专业英语考查，第二部分是专业知识综合问答。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4.复试时间与地点</w:t>
      </w:r>
    </w:p>
    <w:tbl>
      <w:tblPr>
        <w:tblW w:w="9638"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2100"/>
        <w:gridCol w:w="2405"/>
        <w:gridCol w:w="2354"/>
        <w:gridCol w:w="277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860"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rPr>
              <w:t>复试项目</w:t>
            </w:r>
          </w:p>
        </w:tc>
        <w:tc>
          <w:tcPr>
            <w:tcW w:w="2130"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rPr>
              <w:t>时间</w:t>
            </w:r>
          </w:p>
        </w:tc>
        <w:tc>
          <w:tcPr>
            <w:tcW w:w="2085"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rPr>
              <w:t>复试工作地</w:t>
            </w:r>
          </w:p>
        </w:tc>
        <w:tc>
          <w:tcPr>
            <w:tcW w:w="2460"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860"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（含外语测评）</w:t>
            </w:r>
          </w:p>
        </w:tc>
        <w:tc>
          <w:tcPr>
            <w:tcW w:w="2130"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3月24日（周四）</w:t>
            </w:r>
          </w:p>
        </w:tc>
        <w:tc>
          <w:tcPr>
            <w:tcW w:w="2085"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崇真北楼</w:t>
            </w:r>
          </w:p>
        </w:tc>
        <w:tc>
          <w:tcPr>
            <w:tcW w:w="2460"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rPr>
              <w:t>学生在线面试</w:t>
            </w:r>
            <w:r>
              <w:rPr>
                <w:rFonts w:hint="eastAsia" w:ascii="宋体" w:hAnsi="宋体" w:eastAsia="宋体" w:cs="宋体"/>
                <w:i w:val="0"/>
                <w:iCs w:val="0"/>
                <w:caps w:val="0"/>
                <w:color w:val="000000"/>
                <w:spacing w:val="0"/>
                <w:sz w:val="24"/>
                <w:szCs w:val="24"/>
                <w:bdr w:val="none" w:color="auto" w:sz="0" w:space="0"/>
              </w:rPr>
              <w:t>，含英语自我介绍及对谈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860"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专业课考核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（开放性问答）</w:t>
            </w:r>
          </w:p>
        </w:tc>
        <w:tc>
          <w:tcPr>
            <w:tcW w:w="2130"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3月24日（周四）</w:t>
            </w:r>
          </w:p>
        </w:tc>
        <w:tc>
          <w:tcPr>
            <w:tcW w:w="2085"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崇真北楼</w:t>
            </w:r>
          </w:p>
        </w:tc>
        <w:tc>
          <w:tcPr>
            <w:tcW w:w="2460"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rPr>
              <w:t>口试</w:t>
            </w:r>
            <w:r>
              <w:rPr>
                <w:rFonts w:hint="eastAsia" w:ascii="宋体" w:hAnsi="宋体" w:eastAsia="宋体" w:cs="宋体"/>
                <w:i w:val="0"/>
                <w:iCs w:val="0"/>
                <w:caps w:val="0"/>
                <w:color w:val="000000"/>
                <w:spacing w:val="0"/>
                <w:sz w:val="24"/>
                <w:szCs w:val="24"/>
                <w:bdr w:val="none" w:color="auto" w:sz="0" w:space="0"/>
              </w:rPr>
              <w:t>，面试环节同步进行</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（三）成绩核算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1.总成绩=（初试成绩÷5）×60%+复试成绩×40%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其中：复试成绩=专业知识考核成绩×40%+外语能力测试成绩×20%+综合素质面试成绩×40%。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所有复试合格的考生按总成绩的高低排序，依次录取；总成绩相同的情况下，按复试成绩排序录取。“退役大学生士兵”专项计划考生单独排序。各学院根据招生计划确定拟录取名单后报校研究生招生工作领导小组审核，并公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3.复试考生有下列情况之一者，不予录取：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思想政治素质或品德考核不合格者;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复试成绩不合格（低于满分的60%）者;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同等学力考生加试成绩有一门或一门以上不合格（低于满分的60%）者;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报考资格不符合规定者。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4.已录取考生有下列情况之一者，取消录取资格：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应届本科毕业生及自学考试和网络教育届时可毕业本科生考生，入学时未取得国家承认的本科毕业证书者;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人事档案审查不合格者;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入学复查不合格者。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5.被录取后放弃入学者，学校将会把个人失信记录存入档案。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(四)思想政治素质和品德考核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思想政治素质和品德考核内容主要包括考生的政治态度、思想表现、道德品质、遵纪守法、诚实守信等方面情况。考生于开学后提交《思想政治品德考核表》。思想品德考核不合格者不予录取。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合格的拟录取考生必须按规定时间寄（送）回人事档案和政审调查表（其调档函、政审调查表发放、回收时间及具体要求将另行通知，请及时关注研究院网站通知），函调的考生现实表现材料，需由考生本人档案所在单位的人事、政工部门加盖印章。人事档案和政审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考虑当前疫情防控实际状况，拟录取考生将在入学后组织体检。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按照湖北省物价局审批的标准，每位复试考生需缴纳复试费100元，按学校要求执行。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请考生提前准备好远程复试所需的硬件设备，复试前按通知要求进行测试，以保证复试正常进行。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1.硬件设备要求：1 台笔记本电脑或台式机（须配摄像头、麦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克风和音箱或具有相应功能），1 部智能手机（确保电量充足，建议选择稳定的WiFi联网，并设置电话免干扰模式，以防复试过程中意外来电干扰）。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2.网络要求：网络畅通能满足视频要求（建议首选电脑+有线网络）。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3.复试环境要求：独立的复试房间，灯光明亮，安静，不逆光。可视范围内不得有与复试相关参考资料和可视电子屏幕。房间内不得有其它人，也不允许出现其它声音。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网络远程复试平台拟采用研招网远程复试平台和腾讯会议（以后续通知为准）。考生应提前在电脑和手机上安装相关软件，用中国研究生招生信息网报名时填写的手机号注册账号，进行实名认证，并熟悉相关功能。如有问题，请与研究院联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（一）调剂学科（领域）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接受调剂的学科（领域）详见《武汉纺织大学2022年硕士研究生招生调剂公告》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1.符合调入专业的报考条件。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2.初试成绩符合第一志愿报考专业在一区的《全国初试成绩基本要求》。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3.调入专业应与第一志愿报考专业相同或相近，且在同一学科门类范围内（可授不同学科门类学位的专业可跨门类在对应专业所属一级学科范围内进行调剂）。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第一志愿报考专业初试科目与调入专业初试科目相同或相近，其中初试全国统一命题科目应与调入专业全国统一命题科目相同（考生初试统考科目涵盖调入专业所有统考科目的，视为相同）。在全国统一命题科目中，英语一、英语二可视为相同;数学一、数学二、数学三可视为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具体要求参照《武汉纺织大学2022年招生攻读硕士学位研究生复试录取方案》。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（三）调剂工作要求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1.所有调剂考生（含校内调剂）必须通过研招网调剂系统进行。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2.实行差额复试，择优录取。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3.调剂系统开放后，择时分平台、分批复试。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4.调剂考生进校后原则上不允许转专业。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六、信息公开与监督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复试过程实行全程录像。“研究院2022年硕士研究生复试录取工作实施细则”由研究院招生工作领导小组负责解释，未尽事宜由工作领导小组研究确定。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上报学校前，在研究院的网站上公示，公示期不少于3个工作日。考生如对公示结果有异议，可通过书面形式或通过电子邮件向武汉纺织大学技术研究院研究生办公室或武汉纺织大学研究生工作部反映，反映情况要实事求是，以便调查核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577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2022-04-11T09:21:20Z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