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文法与经济学院2022年硕士研究生招生复试工作实施细则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湖北省关于疫情防控的部署和教育部《2022年全国硕士研究生招生工作管理规定》（教学函〔2021〕2号）、《关于做好2022年全国硕士研究生招生录取工作的通知》（教学司〔2022〕4号）等文件精神，按照《武汉科技大学2022</w:t>
      </w:r>
      <w:bookmarkStart w:id="0" w:name="_GoBack"/>
      <w:bookmarkEnd w:id="0"/>
      <w:r>
        <w:rPr>
          <w:rFonts w:hint="eastAsia" w:ascii="宋体" w:hAnsi="宋体" w:eastAsia="宋体" w:cs="宋体"/>
          <w:sz w:val="24"/>
          <w:szCs w:val="32"/>
        </w:rPr>
        <w:t>年硕士研究生复试工作方案》的要求，特制定文法与经济学院2022年硕士研究生招生复试工作实施细则如下：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组织领导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中心）成立招生复试工作领导小组，全面负责本学院（中心）硕士研究生招生复试录取工作。在学院（中心）招生复试工作领导小组的领导和统筹安排下，组建复试小组，负责复试各环节的组织和考核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复试分数线</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47"/>
        <w:gridCol w:w="2230"/>
        <w:gridCol w:w="1896"/>
        <w:gridCol w:w="989"/>
        <w:gridCol w:w="750"/>
        <w:gridCol w:w="907"/>
        <w:gridCol w:w="841"/>
        <w:gridCol w:w="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学科</w:t>
            </w:r>
            <w:r>
              <w:rPr>
                <w:rStyle w:val="5"/>
                <w:rFonts w:eastAsia="宋体"/>
                <w:bdr w:val="none" w:color="auto" w:sz="0" w:space="0"/>
                <w:lang w:val="en-US" w:eastAsia="zh-CN" w:bidi="ar"/>
              </w:rPr>
              <w:t>/</w:t>
            </w:r>
            <w:r>
              <w:rPr>
                <w:rStyle w:val="6"/>
                <w:bdr w:val="none" w:color="auto" w:sz="0" w:space="0"/>
                <w:lang w:val="en-US" w:eastAsia="zh-CN" w:bidi="ar"/>
              </w:rPr>
              <w:t>专业代码</w:t>
            </w:r>
          </w:p>
        </w:tc>
        <w:tc>
          <w:tcPr>
            <w:tcW w:w="1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学科（专业）/类别（领域）</w:t>
            </w:r>
          </w:p>
        </w:tc>
        <w:tc>
          <w:tcPr>
            <w:tcW w:w="1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研究方向</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政治理论/管理类综合</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外国语</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业务课1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业务课2</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应用经济学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不区分研究方向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0305Z1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马克思主义法学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不区分研究方向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120400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公共管理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不区分研究方向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25400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国际商务（</w:t>
            </w:r>
            <w:r>
              <w:rPr>
                <w:rStyle w:val="7"/>
                <w:rFonts w:eastAsia="宋体"/>
                <w:bdr w:val="none" w:color="auto" w:sz="0" w:space="0"/>
                <w:lang w:val="en-US" w:eastAsia="zh-CN" w:bidi="ar"/>
              </w:rPr>
              <w:t>MIB</w:t>
            </w:r>
            <w:r>
              <w:rPr>
                <w:rStyle w:val="8"/>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不区分研究方向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35200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社会工作（</w:t>
            </w:r>
            <w:r>
              <w:rPr>
                <w:rStyle w:val="7"/>
                <w:rFonts w:eastAsia="宋体"/>
                <w:bdr w:val="none" w:color="auto" w:sz="0" w:space="0"/>
                <w:lang w:val="en-US" w:eastAsia="zh-CN" w:bidi="ar"/>
              </w:rPr>
              <w:t>MSW</w:t>
            </w:r>
            <w:r>
              <w:rPr>
                <w:rStyle w:val="8"/>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不区分研究方向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125200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公共管理（</w:t>
            </w:r>
            <w:r>
              <w:rPr>
                <w:rStyle w:val="7"/>
                <w:rFonts w:eastAsia="宋体"/>
                <w:bdr w:val="none" w:color="auto" w:sz="0" w:space="0"/>
                <w:lang w:val="en-US" w:eastAsia="zh-CN" w:bidi="ar"/>
              </w:rPr>
              <w:t>MPA</w:t>
            </w:r>
            <w:r>
              <w:rPr>
                <w:rStyle w:val="8"/>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不区分研究方向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178</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招生计划</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955"/>
        <w:gridCol w:w="2220"/>
        <w:gridCol w:w="1836"/>
        <w:gridCol w:w="2053"/>
        <w:gridCol w:w="15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9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学科</w:t>
            </w:r>
            <w:r>
              <w:rPr>
                <w:rStyle w:val="9"/>
                <w:rFonts w:eastAsia="宋体"/>
                <w:bdr w:val="none" w:color="auto" w:sz="0" w:space="0"/>
                <w:lang w:val="en-US" w:eastAsia="zh-CN" w:bidi="ar"/>
              </w:rPr>
              <w:t>/</w:t>
            </w:r>
            <w:r>
              <w:rPr>
                <w:rStyle w:val="10"/>
                <w:bdr w:val="none" w:color="auto" w:sz="0" w:space="0"/>
                <w:lang w:val="en-US" w:eastAsia="zh-CN" w:bidi="ar"/>
              </w:rPr>
              <w:t>专业代码</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学科专业名称</w:t>
            </w:r>
          </w:p>
        </w:tc>
        <w:tc>
          <w:tcPr>
            <w:tcW w:w="1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学习形式</w:t>
            </w:r>
          </w:p>
        </w:tc>
        <w:tc>
          <w:tcPr>
            <w:tcW w:w="20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已接收推免生</w:t>
            </w:r>
          </w:p>
        </w:tc>
        <w:tc>
          <w:tcPr>
            <w:tcW w:w="15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拟招生计划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9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（全日制</w:t>
            </w:r>
            <w:r>
              <w:rPr>
                <w:rStyle w:val="11"/>
                <w:rFonts w:eastAsia="宋体"/>
                <w:bdr w:val="none" w:color="auto" w:sz="0" w:space="0"/>
                <w:lang w:val="en-US" w:eastAsia="zh-CN" w:bidi="ar"/>
              </w:rPr>
              <w:t>/</w:t>
            </w:r>
            <w:r>
              <w:rPr>
                <w:rStyle w:val="12"/>
                <w:bdr w:val="none" w:color="auto" w:sz="0" w:space="0"/>
                <w:lang w:val="en-US" w:eastAsia="zh-CN" w:bidi="ar"/>
              </w:rPr>
              <w:t>非全日制）</w:t>
            </w:r>
          </w:p>
        </w:tc>
        <w:tc>
          <w:tcPr>
            <w:tcW w:w="20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20200</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应用经济学</w:t>
            </w:r>
          </w:p>
        </w:tc>
        <w:tc>
          <w:tcPr>
            <w:tcW w:w="1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全日制</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w:t>
            </w:r>
          </w:p>
        </w:tc>
        <w:tc>
          <w:tcPr>
            <w:tcW w:w="15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0305Z1</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马克思主义法学</w:t>
            </w:r>
          </w:p>
        </w:tc>
        <w:tc>
          <w:tcPr>
            <w:tcW w:w="1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全日制</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2</w:t>
            </w:r>
          </w:p>
        </w:tc>
        <w:tc>
          <w:tcPr>
            <w:tcW w:w="15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120400</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公共管理</w:t>
            </w:r>
          </w:p>
        </w:tc>
        <w:tc>
          <w:tcPr>
            <w:tcW w:w="1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全日制</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2</w:t>
            </w:r>
          </w:p>
        </w:tc>
        <w:tc>
          <w:tcPr>
            <w:tcW w:w="15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25400</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国际商务（</w:t>
            </w:r>
            <w:r>
              <w:rPr>
                <w:rFonts w:hint="default" w:ascii="Times New Roman" w:hAnsi="Times New Roman" w:eastAsia="宋体" w:cs="Times New Roman"/>
                <w:i w:val="0"/>
                <w:iCs w:val="0"/>
                <w:color w:val="000000"/>
                <w:kern w:val="0"/>
                <w:sz w:val="24"/>
                <w:szCs w:val="24"/>
                <w:u w:val="none"/>
                <w:bdr w:val="none" w:color="auto" w:sz="0" w:space="0"/>
                <w:lang w:val="en-US" w:eastAsia="zh-CN" w:bidi="ar"/>
              </w:rPr>
              <w:t>MIB</w:t>
            </w: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1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全日制</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w:t>
            </w:r>
          </w:p>
        </w:tc>
        <w:tc>
          <w:tcPr>
            <w:tcW w:w="15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35200</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社会工作（</w:t>
            </w:r>
            <w:r>
              <w:rPr>
                <w:rFonts w:hint="default" w:ascii="Times New Roman" w:hAnsi="Times New Roman" w:eastAsia="宋体" w:cs="Times New Roman"/>
                <w:i w:val="0"/>
                <w:iCs w:val="0"/>
                <w:color w:val="000000"/>
                <w:kern w:val="0"/>
                <w:sz w:val="24"/>
                <w:szCs w:val="24"/>
                <w:u w:val="none"/>
                <w:bdr w:val="none" w:color="auto" w:sz="0" w:space="0"/>
                <w:lang w:val="en-US" w:eastAsia="zh-CN" w:bidi="ar"/>
              </w:rPr>
              <w:t>MSW</w:t>
            </w: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1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全日制</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w:t>
            </w:r>
          </w:p>
        </w:tc>
        <w:tc>
          <w:tcPr>
            <w:tcW w:w="15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35200</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社会工作（</w:t>
            </w:r>
            <w:r>
              <w:rPr>
                <w:rFonts w:hint="default" w:ascii="Times New Roman" w:hAnsi="Times New Roman" w:eastAsia="宋体" w:cs="Times New Roman"/>
                <w:i w:val="0"/>
                <w:iCs w:val="0"/>
                <w:color w:val="000000"/>
                <w:kern w:val="0"/>
                <w:sz w:val="24"/>
                <w:szCs w:val="24"/>
                <w:u w:val="none"/>
                <w:bdr w:val="none" w:color="auto" w:sz="0" w:space="0"/>
                <w:lang w:val="en-US" w:eastAsia="zh-CN" w:bidi="ar"/>
              </w:rPr>
              <w:t>MSW</w:t>
            </w: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1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非全日制</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w:t>
            </w:r>
          </w:p>
        </w:tc>
        <w:tc>
          <w:tcPr>
            <w:tcW w:w="15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125200</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公共管理（</w:t>
            </w:r>
            <w:r>
              <w:rPr>
                <w:rFonts w:hint="default" w:ascii="Times New Roman" w:hAnsi="Times New Roman" w:eastAsia="宋体" w:cs="Times New Roman"/>
                <w:i w:val="0"/>
                <w:iCs w:val="0"/>
                <w:color w:val="000000"/>
                <w:kern w:val="0"/>
                <w:sz w:val="24"/>
                <w:szCs w:val="24"/>
                <w:u w:val="none"/>
                <w:bdr w:val="none" w:color="auto" w:sz="0" w:space="0"/>
                <w:lang w:val="en-US" w:eastAsia="zh-CN" w:bidi="ar"/>
              </w:rPr>
              <w:t>MPA</w:t>
            </w: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1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全日制</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w:t>
            </w:r>
          </w:p>
        </w:tc>
        <w:tc>
          <w:tcPr>
            <w:tcW w:w="15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125200</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公共管理（</w:t>
            </w:r>
            <w:r>
              <w:rPr>
                <w:rFonts w:hint="default" w:ascii="Times New Roman" w:hAnsi="Times New Roman" w:eastAsia="宋体" w:cs="Times New Roman"/>
                <w:i w:val="0"/>
                <w:iCs w:val="0"/>
                <w:color w:val="000000"/>
                <w:kern w:val="0"/>
                <w:sz w:val="24"/>
                <w:szCs w:val="24"/>
                <w:u w:val="none"/>
                <w:bdr w:val="none" w:color="auto" w:sz="0" w:space="0"/>
                <w:lang w:val="en-US" w:eastAsia="zh-CN" w:bidi="ar"/>
              </w:rPr>
              <w:t>MPA</w:t>
            </w: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1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非全日制</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w:t>
            </w:r>
          </w:p>
        </w:tc>
        <w:tc>
          <w:tcPr>
            <w:tcW w:w="15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80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注：以上拟招生计划不含已接收推免生数；各专业实际录取人数以复试后公布的拟录取结果为准。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1.查阅我院公示的2022年硕士研究生复试名单。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2.符合我校及学院相关专业调剂政策的调剂考生以中国研究生招生信息网调剂系统通知为准。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复试方式及内容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今年我院采取考生网络远程复试、专家组现场集中考核的方式开展复试。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复试内容包含专业知识、外语能力和综合素质、思想政治素质、道德品质考核等，满分为100分。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1.专业知识（40分）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考核相关专业的基本理论知识和分析能力。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2.外语能力（20分）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主要考核外语听力、口语和综合能力。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3.综合素质（40分）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复试专家全面考核考生的思想政治素质和道德品质、治学态度、专业思想、知识结构、培养潜力等综合素质和心理素质。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同等学力加试科目详见《武汉科技大学2022年硕士研究生招生专业目录》。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时间。我院定于4月1日启动2022年硕士研究生网络远程复试工作。考生在复试前1天，登录我校网络远程复试平台(http://wust.yanjiushengyuan.com)下载准考证，了解具体复试时间安排。不按规定时间参加复试的考生，将视作自动放弃复试资格，复试成绩为零，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2.条件要求。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硬件要求：两部性能良好的手机，并确保手机能提供清晰的视频音频传输。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软件要求：浏览器、微信及复试应急备用系统腾讯会议，考生须提前在手机上完成以上程序的安装与试用。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其它条件要求请参考《武汉科技大学2022年硕士研究生招生复试考生须知》。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资格审查。我院将于3月31日至4月1日对一志愿考生进行资格审查。请一志愿复试考生凭姓名、身份证号登录我校网络远程复试平台(http://wust.yanjiushengyuan.com)，按照《武汉科技大学2022年硕士研究生招生复试资格审查要求》提交资格审查材料。资格审查不合格者，不能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4.签订《武汉科技大学2022年硕士研究生诚信复试承诺书》。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5.网上缴费。考生扫描系统中二维码缴纳复试费100元。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1.登录系统。考生按准考证上规定的时间，提前半个小时通过准考证上的二维码进入考试小程序，登录考试系统。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2.身份核验。进入系统后，进行身份核验，认真按照要求拍摄一张本人头像照片，系统会自动进行人脸识别比对，通过后可进入考试界面。如2次核验都没通过，页面将出现提示，提交人工审核申请。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3.复试环节。（考生复试时间20分钟左右）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(1)外语能力测试（时间5分钟左右）主要考核外语听力、口语和综合能力。考生在面试中首先作英文自我介绍（时间3分钟左右），由复试专家采用英文提问，考生英文回答（时间2分钟左右）。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(2)专业知识及能力面试（时间10分钟左右）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①面试内容：报考专业复试科目（详见《武汉科技大学2021年硕士研究生招生简章》。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②重点考核本专业理论知识掌握情况，利用所学理论知识发现、分析和解决专业问题的能力；对本学科发展动态的了解情况以及在本专业领域发展的潜力，创新精神和创新能力。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③考查形式：随机抽取问题作答，结合自身学习情况现场分析回答。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综合素质面试（时间5分钟左右）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①全面考核考生的思想政治素质和道德品质、治学态度、专业思想、知识结构、培养潜力等综合素质和心理素质。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②考查形式：随机抽题,考生作答，评委根据考生陈述等信息，通过自由交流的形式考核考生的学术研究潜质、语言表达和沟通能力等综合素质，并进行礼仪修养评价。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成绩核算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1.录取总成绩=100×（初试成绩/初试满分）×70%+100×（复试成绩/复试满分）×30%。学院将按专业对录取总成绩进行排序。如录取总成绩相同，则分别按初试成绩、复试成绩排序。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2.复试满分为100分，60分及以上为合格，不合格者不予录取。同等学力考生加试科目不计入复试成绩，但加试不合格者不予录取。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3.思想政治素质、道德品质考核结果不合格者不予录取。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其它事项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1.奖助政策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参照《武汉科技大学2022年硕士研究生资助体系说明》执行，详见《武汉科技大学2022年硕士研究生招生简章》。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2.学制与学费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公共管理硕士（学术型）全日制学制：3年；学费：8000元/年。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应用经济学专业（学术型）全日制学制：3年；学费：8000元/年。马克思主义法学专业（学术型）全日制学制：3年；学费：8000元/年。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国际商务专业（MIB)全日制学制：2年；学费：15000元/年。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公共管理（MPA）全日制学制：3年；学费：13000元/年。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公共管理（MPA）非全日制学制：3年；学费：13000元/年。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社会工作专业（MSW)全日制学制：2年；学费：15000元/年。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社会工作专业（MSW)非全日制学制：2年；学费：15000元/年。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信息公开及考生咨询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考生的复试成绩和复试结果将在学院网站公布（网址：http://www.wust.edu.cn/wfyjj/），自公布之日起三日内接受考生监督和复核申请。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35403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customStyle="1" w:styleId="5">
    <w:name w:val="font51"/>
    <w:basedOn w:val="4"/>
    <w:uiPriority w:val="0"/>
    <w:rPr>
      <w:rFonts w:ascii="Arial" w:hAnsi="Arial" w:cs="Arial"/>
      <w:b/>
      <w:bCs/>
      <w:color w:val="000000"/>
      <w:sz w:val="24"/>
      <w:szCs w:val="24"/>
      <w:u w:val="none"/>
    </w:rPr>
  </w:style>
  <w:style w:type="character" w:customStyle="1" w:styleId="6">
    <w:name w:val="font01"/>
    <w:basedOn w:val="4"/>
    <w:uiPriority w:val="0"/>
    <w:rPr>
      <w:rFonts w:hint="eastAsia" w:ascii="宋体" w:hAnsi="宋体" w:eastAsia="宋体" w:cs="宋体"/>
      <w:b/>
      <w:bCs/>
      <w:color w:val="000000"/>
      <w:sz w:val="24"/>
      <w:szCs w:val="24"/>
      <w:u w:val="none"/>
    </w:rPr>
  </w:style>
  <w:style w:type="character" w:customStyle="1" w:styleId="7">
    <w:name w:val="font71"/>
    <w:basedOn w:val="4"/>
    <w:uiPriority w:val="0"/>
    <w:rPr>
      <w:rFonts w:hint="default" w:ascii="Times New Roman" w:hAnsi="Times New Roman" w:cs="Times New Roman"/>
      <w:color w:val="333333"/>
      <w:sz w:val="24"/>
      <w:szCs w:val="24"/>
      <w:u w:val="none"/>
    </w:rPr>
  </w:style>
  <w:style w:type="character" w:customStyle="1" w:styleId="8">
    <w:name w:val="font31"/>
    <w:basedOn w:val="4"/>
    <w:uiPriority w:val="0"/>
    <w:rPr>
      <w:rFonts w:hint="eastAsia" w:ascii="宋体" w:hAnsi="宋体" w:eastAsia="宋体" w:cs="宋体"/>
      <w:color w:val="333333"/>
      <w:sz w:val="24"/>
      <w:szCs w:val="24"/>
      <w:u w:val="none"/>
    </w:rPr>
  </w:style>
  <w:style w:type="character" w:customStyle="1" w:styleId="9">
    <w:name w:val="font21"/>
    <w:basedOn w:val="4"/>
    <w:uiPriority w:val="0"/>
    <w:rPr>
      <w:rFonts w:hint="default" w:ascii="Times New Roman" w:hAnsi="Times New Roman" w:cs="Times New Roman"/>
      <w:b/>
      <w:bCs/>
      <w:color w:val="000000"/>
      <w:sz w:val="24"/>
      <w:szCs w:val="24"/>
      <w:u w:val="none"/>
    </w:rPr>
  </w:style>
  <w:style w:type="character" w:customStyle="1" w:styleId="10">
    <w:name w:val="font11"/>
    <w:basedOn w:val="4"/>
    <w:uiPriority w:val="0"/>
    <w:rPr>
      <w:rFonts w:hint="eastAsia" w:ascii="宋体" w:hAnsi="宋体" w:eastAsia="宋体" w:cs="宋体"/>
      <w:b/>
      <w:bCs/>
      <w:color w:val="000000"/>
      <w:sz w:val="24"/>
      <w:szCs w:val="24"/>
      <w:u w:val="none"/>
    </w:rPr>
  </w:style>
  <w:style w:type="character" w:customStyle="1" w:styleId="11">
    <w:name w:val="font81"/>
    <w:basedOn w:val="4"/>
    <w:uiPriority w:val="0"/>
    <w:rPr>
      <w:rFonts w:hint="default" w:ascii="Times New Roman" w:hAnsi="Times New Roman" w:cs="Times New Roman"/>
      <w:b/>
      <w:bCs/>
      <w:color w:val="000000"/>
      <w:sz w:val="18"/>
      <w:szCs w:val="18"/>
      <w:u w:val="none"/>
    </w:rPr>
  </w:style>
  <w:style w:type="character" w:customStyle="1" w:styleId="12">
    <w:name w:val="font61"/>
    <w:basedOn w:val="4"/>
    <w:uiPriority w:val="0"/>
    <w:rPr>
      <w:rFonts w:hint="eastAsia" w:ascii="宋体" w:hAnsi="宋体" w:eastAsia="宋体" w:cs="宋体"/>
      <w:b/>
      <w:bCs/>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6</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2022-04-02T03:26:00Z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