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英语师范学院·教育学院2022年硕士研究生招生考试复试工作细则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根据《西安外国语大学2022年硕士研究生复试录取工作办法》文件精神，结合我院实际情况，特制定本学院复试细则。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一、指导思想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1.坚持科学选拔。积极探索并遵循高层次专业人才选拔规</w:t>
      </w:r>
      <w:bookmarkStart w:id="0" w:name="_GoBack"/>
      <w:bookmarkEnd w:id="0"/>
      <w:r>
        <w:rPr>
          <w:rFonts w:hint="eastAsia" w:ascii="宋体" w:hAnsi="宋体" w:eastAsia="宋体" w:cs="宋体"/>
          <w:sz w:val="24"/>
          <w:szCs w:val="32"/>
        </w:rPr>
        <w:t>律，采用多样化方式，提高选拔质量确保生源质量。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2.坚持公平公正。推进信息公开，做到政策透明、程序公正、结果公开、监督机制健全，维护考生的合法权益。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3.坚持全面考察。在对考生能力全面考察的基础上，突出对专业素质、实践能力及创新精神等方面的考核。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4.坚持客观评价。面试由组长统一评价原则，评价过程中教师背靠背打分，不互相影响。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5.坚持以人为本，提高复试管理服务水平，加强考试资格审查增强服务意识，提高管理水平。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根据2022年报考考生的初试成绩和生源情况，报考我院2022年硕士研究生（一志愿）复试分数线为：</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00"/>
        <w:gridCol w:w="2010"/>
        <w:gridCol w:w="1380"/>
        <w:gridCol w:w="1500"/>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blCellSpacing w:w="0" w:type="dxa"/>
          <w:jc w:val="center"/>
        </w:trPr>
        <w:tc>
          <w:tcPr>
            <w:tcW w:w="150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ascii="仿宋" w:hAnsi="仿宋" w:eastAsia="仿宋" w:cs="仿宋"/>
                <w:i w:val="0"/>
                <w:iCs w:val="0"/>
                <w:caps w:val="0"/>
                <w:color w:val="000000"/>
                <w:spacing w:val="0"/>
                <w:sz w:val="24"/>
                <w:szCs w:val="24"/>
                <w:bdr w:val="none" w:color="auto" w:sz="0" w:space="0"/>
              </w:rPr>
              <w:t>专业代码</w:t>
            </w:r>
          </w:p>
        </w:tc>
        <w:tc>
          <w:tcPr>
            <w:tcW w:w="2010" w:type="dxa"/>
            <w:tcBorders>
              <w:top w:val="single" w:color="auto"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000000"/>
                <w:spacing w:val="0"/>
                <w:sz w:val="24"/>
                <w:szCs w:val="24"/>
                <w:bdr w:val="none" w:color="auto" w:sz="0" w:space="0"/>
              </w:rPr>
              <w:t>专业名称</w:t>
            </w:r>
          </w:p>
        </w:tc>
        <w:tc>
          <w:tcPr>
            <w:tcW w:w="1380" w:type="dxa"/>
            <w:tcBorders>
              <w:top w:val="single" w:color="auto"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center"/>
              <w:rPr>
                <w:color w:val="666666"/>
              </w:rPr>
            </w:pPr>
            <w:r>
              <w:rPr>
                <w:rFonts w:hint="eastAsia" w:ascii="仿宋" w:hAnsi="仿宋" w:eastAsia="仿宋" w:cs="仿宋"/>
                <w:i w:val="0"/>
                <w:iCs w:val="0"/>
                <w:caps w:val="0"/>
                <w:color w:val="000000"/>
                <w:spacing w:val="0"/>
                <w:sz w:val="24"/>
                <w:szCs w:val="24"/>
                <w:bdr w:val="none" w:color="auto" w:sz="0" w:space="0"/>
              </w:rPr>
              <w:t>单科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center"/>
              <w:rPr>
                <w:color w:val="666666"/>
              </w:rPr>
            </w:pPr>
            <w:r>
              <w:rPr>
                <w:rFonts w:hint="eastAsia" w:ascii="仿宋" w:hAnsi="仿宋" w:eastAsia="仿宋" w:cs="仿宋"/>
                <w:i w:val="0"/>
                <w:iCs w:val="0"/>
                <w:caps w:val="0"/>
                <w:color w:val="000000"/>
                <w:spacing w:val="0"/>
                <w:sz w:val="24"/>
                <w:szCs w:val="24"/>
                <w:bdr w:val="none" w:color="auto" w:sz="0" w:space="0"/>
              </w:rPr>
              <w:t>(满分=100分)</w:t>
            </w:r>
          </w:p>
        </w:tc>
        <w:tc>
          <w:tcPr>
            <w:tcW w:w="1500" w:type="dxa"/>
            <w:tcBorders>
              <w:top w:val="single" w:color="auto" w:sz="6" w:space="0"/>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center"/>
              <w:rPr>
                <w:color w:val="666666"/>
              </w:rPr>
            </w:pPr>
            <w:r>
              <w:rPr>
                <w:rFonts w:hint="eastAsia" w:ascii="仿宋" w:hAnsi="仿宋" w:eastAsia="仿宋" w:cs="仿宋"/>
                <w:i w:val="0"/>
                <w:iCs w:val="0"/>
                <w:caps w:val="0"/>
                <w:color w:val="000000"/>
                <w:spacing w:val="0"/>
                <w:sz w:val="24"/>
                <w:szCs w:val="24"/>
                <w:bdr w:val="none" w:color="auto" w:sz="0" w:space="0"/>
              </w:rPr>
              <w:t>单科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center"/>
              <w:rPr>
                <w:color w:val="666666"/>
              </w:rPr>
            </w:pPr>
            <w:r>
              <w:rPr>
                <w:rFonts w:hint="eastAsia" w:ascii="仿宋" w:hAnsi="仿宋" w:eastAsia="仿宋" w:cs="仿宋"/>
                <w:i w:val="0"/>
                <w:iCs w:val="0"/>
                <w:caps w:val="0"/>
                <w:color w:val="000000"/>
                <w:spacing w:val="0"/>
                <w:sz w:val="24"/>
                <w:szCs w:val="24"/>
                <w:bdr w:val="none" w:color="auto" w:sz="0" w:space="0"/>
              </w:rPr>
              <w:t>(满分&gt;100分)</w:t>
            </w:r>
          </w:p>
        </w:tc>
        <w:tc>
          <w:tcPr>
            <w:tcW w:w="765" w:type="dxa"/>
            <w:tcBorders>
              <w:top w:val="single" w:color="auto" w:sz="6" w:space="0"/>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000000"/>
                <w:spacing w:val="0"/>
                <w:sz w:val="24"/>
                <w:szCs w:val="24"/>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1410" w:type="dxa"/>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666666"/>
              </w:rPr>
            </w:pPr>
            <w:r>
              <w:rPr>
                <w:rFonts w:hint="eastAsia" w:ascii="仿宋" w:hAnsi="仿宋" w:eastAsia="仿宋" w:cs="仿宋"/>
                <w:i w:val="0"/>
                <w:iCs w:val="0"/>
                <w:caps w:val="0"/>
                <w:color w:val="000000"/>
                <w:spacing w:val="0"/>
                <w:sz w:val="22"/>
                <w:szCs w:val="22"/>
                <w:bdr w:val="none" w:color="auto" w:sz="0" w:space="0"/>
              </w:rPr>
              <w:t>040100</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666666"/>
              </w:rPr>
            </w:pPr>
            <w:r>
              <w:rPr>
                <w:rFonts w:hint="eastAsia" w:ascii="仿宋" w:hAnsi="仿宋" w:eastAsia="仿宋" w:cs="仿宋"/>
                <w:i w:val="0"/>
                <w:iCs w:val="0"/>
                <w:caps w:val="0"/>
                <w:color w:val="000000"/>
                <w:spacing w:val="0"/>
                <w:sz w:val="22"/>
                <w:szCs w:val="22"/>
                <w:bdr w:val="none" w:color="auto" w:sz="0" w:space="0"/>
              </w:rPr>
              <w:t>教育学</w:t>
            </w:r>
          </w:p>
        </w:tc>
        <w:tc>
          <w:tcPr>
            <w:tcW w:w="13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666666"/>
                <w:spacing w:val="0"/>
                <w:sz w:val="24"/>
                <w:szCs w:val="24"/>
                <w:bdr w:val="none" w:color="auto" w:sz="0" w:space="0"/>
              </w:rPr>
              <w:t>51</w:t>
            </w:r>
          </w:p>
        </w:tc>
        <w:tc>
          <w:tcPr>
            <w:tcW w:w="150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666666"/>
                <w:spacing w:val="0"/>
                <w:sz w:val="24"/>
                <w:szCs w:val="24"/>
                <w:bdr w:val="none" w:color="auto" w:sz="0" w:space="0"/>
              </w:rPr>
              <w:t>153</w:t>
            </w:r>
          </w:p>
        </w:tc>
        <w:tc>
          <w:tcPr>
            <w:tcW w:w="765"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jc w:val="center"/>
        </w:trPr>
        <w:tc>
          <w:tcPr>
            <w:tcW w:w="1500" w:type="dxa"/>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666666"/>
              </w:rPr>
            </w:pPr>
            <w:r>
              <w:rPr>
                <w:rFonts w:hint="eastAsia" w:ascii="仿宋" w:hAnsi="仿宋" w:eastAsia="仿宋" w:cs="仿宋"/>
                <w:i w:val="0"/>
                <w:iCs w:val="0"/>
                <w:caps w:val="0"/>
                <w:color w:val="000000"/>
                <w:spacing w:val="0"/>
                <w:sz w:val="22"/>
                <w:szCs w:val="22"/>
                <w:bdr w:val="none" w:color="auto" w:sz="0" w:space="0"/>
              </w:rPr>
              <w:t>045101</w:t>
            </w:r>
          </w:p>
        </w:tc>
        <w:tc>
          <w:tcPr>
            <w:tcW w:w="20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666666"/>
              </w:rPr>
            </w:pPr>
            <w:r>
              <w:rPr>
                <w:rFonts w:hint="eastAsia" w:ascii="仿宋" w:hAnsi="仿宋" w:eastAsia="仿宋" w:cs="仿宋"/>
                <w:i w:val="0"/>
                <w:iCs w:val="0"/>
                <w:caps w:val="0"/>
                <w:color w:val="000000"/>
                <w:spacing w:val="0"/>
                <w:sz w:val="22"/>
                <w:szCs w:val="22"/>
                <w:bdr w:val="none" w:color="auto" w:sz="0" w:space="0"/>
              </w:rPr>
              <w:t>教育管理</w:t>
            </w:r>
          </w:p>
        </w:tc>
        <w:tc>
          <w:tcPr>
            <w:tcW w:w="13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666666"/>
                <w:spacing w:val="0"/>
                <w:sz w:val="24"/>
                <w:szCs w:val="24"/>
                <w:bdr w:val="none" w:color="auto" w:sz="0" w:space="0"/>
              </w:rPr>
              <w:t>51</w:t>
            </w:r>
          </w:p>
        </w:tc>
        <w:tc>
          <w:tcPr>
            <w:tcW w:w="150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666666"/>
                <w:spacing w:val="0"/>
                <w:sz w:val="24"/>
                <w:szCs w:val="24"/>
                <w:bdr w:val="none" w:color="auto" w:sz="0" w:space="0"/>
              </w:rPr>
              <w:t>77</w:t>
            </w:r>
          </w:p>
        </w:tc>
        <w:tc>
          <w:tcPr>
            <w:tcW w:w="765"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jc w:val="center"/>
        </w:trPr>
        <w:tc>
          <w:tcPr>
            <w:tcW w:w="1500" w:type="dxa"/>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666666"/>
              </w:rPr>
            </w:pPr>
            <w:r>
              <w:rPr>
                <w:rFonts w:hint="eastAsia" w:ascii="仿宋" w:hAnsi="仿宋" w:eastAsia="仿宋" w:cs="仿宋"/>
                <w:i w:val="0"/>
                <w:iCs w:val="0"/>
                <w:caps w:val="0"/>
                <w:color w:val="000000"/>
                <w:spacing w:val="0"/>
                <w:sz w:val="22"/>
                <w:szCs w:val="22"/>
                <w:bdr w:val="none" w:color="auto" w:sz="0" w:space="0"/>
              </w:rPr>
              <w:t>045115</w:t>
            </w:r>
          </w:p>
        </w:tc>
        <w:tc>
          <w:tcPr>
            <w:tcW w:w="19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666666"/>
              </w:rPr>
            </w:pPr>
            <w:r>
              <w:rPr>
                <w:rFonts w:hint="eastAsia" w:ascii="仿宋" w:hAnsi="仿宋" w:eastAsia="仿宋" w:cs="仿宋"/>
                <w:i w:val="0"/>
                <w:iCs w:val="0"/>
                <w:caps w:val="0"/>
                <w:color w:val="000000"/>
                <w:spacing w:val="0"/>
                <w:sz w:val="22"/>
                <w:szCs w:val="22"/>
                <w:bdr w:val="none" w:color="auto" w:sz="0" w:space="0"/>
              </w:rPr>
              <w:t>小学教育</w:t>
            </w:r>
          </w:p>
        </w:tc>
        <w:tc>
          <w:tcPr>
            <w:tcW w:w="13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666666"/>
                <w:spacing w:val="0"/>
                <w:sz w:val="24"/>
                <w:szCs w:val="24"/>
                <w:bdr w:val="none" w:color="auto" w:sz="0" w:space="0"/>
              </w:rPr>
              <w:t>51</w:t>
            </w:r>
          </w:p>
        </w:tc>
        <w:tc>
          <w:tcPr>
            <w:tcW w:w="150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666666"/>
                <w:spacing w:val="0"/>
                <w:sz w:val="24"/>
                <w:szCs w:val="24"/>
                <w:bdr w:val="none" w:color="auto" w:sz="0" w:space="0"/>
              </w:rPr>
              <w:t>77</w:t>
            </w:r>
          </w:p>
        </w:tc>
        <w:tc>
          <w:tcPr>
            <w:tcW w:w="765"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jc w:val="center"/>
        </w:trPr>
        <w:tc>
          <w:tcPr>
            <w:tcW w:w="1500" w:type="dxa"/>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666666"/>
              </w:rPr>
            </w:pPr>
            <w:r>
              <w:rPr>
                <w:rFonts w:hint="eastAsia" w:ascii="仿宋" w:hAnsi="仿宋" w:eastAsia="仿宋" w:cs="仿宋"/>
                <w:i w:val="0"/>
                <w:iCs w:val="0"/>
                <w:caps w:val="0"/>
                <w:color w:val="000000"/>
                <w:spacing w:val="0"/>
                <w:sz w:val="22"/>
                <w:szCs w:val="22"/>
                <w:bdr w:val="none" w:color="auto" w:sz="0" w:space="0"/>
              </w:rPr>
              <w:t>045110</w:t>
            </w:r>
          </w:p>
        </w:tc>
        <w:tc>
          <w:tcPr>
            <w:tcW w:w="19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666666"/>
              </w:rPr>
            </w:pPr>
            <w:r>
              <w:rPr>
                <w:rFonts w:hint="eastAsia" w:ascii="仿宋" w:hAnsi="仿宋" w:eastAsia="仿宋" w:cs="仿宋"/>
                <w:i w:val="0"/>
                <w:iCs w:val="0"/>
                <w:caps w:val="0"/>
                <w:color w:val="000000"/>
                <w:spacing w:val="0"/>
                <w:sz w:val="22"/>
                <w:szCs w:val="22"/>
                <w:bdr w:val="none" w:color="auto" w:sz="0" w:space="0"/>
              </w:rPr>
              <w:t>学科教学（地理）</w:t>
            </w:r>
          </w:p>
        </w:tc>
        <w:tc>
          <w:tcPr>
            <w:tcW w:w="13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666666"/>
                <w:spacing w:val="0"/>
                <w:sz w:val="24"/>
                <w:szCs w:val="24"/>
                <w:bdr w:val="none" w:color="auto" w:sz="0" w:space="0"/>
              </w:rPr>
              <w:t>51</w:t>
            </w:r>
          </w:p>
        </w:tc>
        <w:tc>
          <w:tcPr>
            <w:tcW w:w="150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666666"/>
                <w:spacing w:val="0"/>
                <w:sz w:val="24"/>
                <w:szCs w:val="24"/>
                <w:bdr w:val="none" w:color="auto" w:sz="0" w:space="0"/>
              </w:rPr>
              <w:t>77</w:t>
            </w:r>
          </w:p>
        </w:tc>
        <w:tc>
          <w:tcPr>
            <w:tcW w:w="765"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jc w:val="center"/>
        </w:trPr>
        <w:tc>
          <w:tcPr>
            <w:tcW w:w="1500" w:type="dxa"/>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666666"/>
              </w:rPr>
            </w:pPr>
            <w:r>
              <w:rPr>
                <w:rFonts w:hint="eastAsia" w:ascii="仿宋" w:hAnsi="仿宋" w:eastAsia="仿宋" w:cs="仿宋"/>
                <w:i w:val="0"/>
                <w:iCs w:val="0"/>
                <w:caps w:val="0"/>
                <w:color w:val="000000"/>
                <w:spacing w:val="0"/>
                <w:sz w:val="22"/>
                <w:szCs w:val="22"/>
                <w:bdr w:val="none" w:color="auto" w:sz="0" w:space="0"/>
              </w:rPr>
              <w:t>045102</w:t>
            </w:r>
          </w:p>
        </w:tc>
        <w:tc>
          <w:tcPr>
            <w:tcW w:w="19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666666"/>
              </w:rPr>
            </w:pPr>
            <w:r>
              <w:rPr>
                <w:rFonts w:hint="eastAsia" w:ascii="仿宋" w:hAnsi="仿宋" w:eastAsia="仿宋" w:cs="仿宋"/>
                <w:i w:val="0"/>
                <w:iCs w:val="0"/>
                <w:caps w:val="0"/>
                <w:color w:val="000000"/>
                <w:spacing w:val="0"/>
                <w:sz w:val="22"/>
                <w:szCs w:val="22"/>
                <w:bdr w:val="none" w:color="auto" w:sz="0" w:space="0"/>
              </w:rPr>
              <w:t>学科教学（思政）</w:t>
            </w:r>
          </w:p>
        </w:tc>
        <w:tc>
          <w:tcPr>
            <w:tcW w:w="13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666666"/>
                <w:spacing w:val="0"/>
                <w:sz w:val="24"/>
                <w:szCs w:val="24"/>
                <w:bdr w:val="none" w:color="auto" w:sz="0" w:space="0"/>
              </w:rPr>
              <w:t>51</w:t>
            </w:r>
          </w:p>
        </w:tc>
        <w:tc>
          <w:tcPr>
            <w:tcW w:w="150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666666"/>
                <w:spacing w:val="0"/>
                <w:sz w:val="24"/>
                <w:szCs w:val="24"/>
                <w:bdr w:val="none" w:color="auto" w:sz="0" w:space="0"/>
              </w:rPr>
              <w:t>77</w:t>
            </w:r>
          </w:p>
        </w:tc>
        <w:tc>
          <w:tcPr>
            <w:tcW w:w="765"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jc w:val="center"/>
        </w:trPr>
        <w:tc>
          <w:tcPr>
            <w:tcW w:w="1500" w:type="dxa"/>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666666"/>
              </w:rPr>
            </w:pPr>
            <w:r>
              <w:rPr>
                <w:rFonts w:hint="eastAsia" w:ascii="仿宋" w:hAnsi="仿宋" w:eastAsia="仿宋" w:cs="仿宋"/>
                <w:i w:val="0"/>
                <w:iCs w:val="0"/>
                <w:caps w:val="0"/>
                <w:color w:val="000000"/>
                <w:spacing w:val="0"/>
                <w:sz w:val="22"/>
                <w:szCs w:val="22"/>
                <w:bdr w:val="none" w:color="auto" w:sz="0" w:space="0"/>
              </w:rPr>
              <w:t>045108</w:t>
            </w:r>
          </w:p>
        </w:tc>
        <w:tc>
          <w:tcPr>
            <w:tcW w:w="19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666666"/>
              </w:rPr>
            </w:pPr>
            <w:r>
              <w:rPr>
                <w:rFonts w:hint="eastAsia" w:ascii="仿宋" w:hAnsi="仿宋" w:eastAsia="仿宋" w:cs="仿宋"/>
                <w:i w:val="0"/>
                <w:iCs w:val="0"/>
                <w:caps w:val="0"/>
                <w:color w:val="000000"/>
                <w:spacing w:val="0"/>
                <w:sz w:val="22"/>
                <w:szCs w:val="22"/>
                <w:bdr w:val="none" w:color="auto" w:sz="0" w:space="0"/>
              </w:rPr>
              <w:t>学科教学（英语）</w:t>
            </w:r>
          </w:p>
        </w:tc>
        <w:tc>
          <w:tcPr>
            <w:tcW w:w="13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666666"/>
                <w:spacing w:val="0"/>
                <w:sz w:val="24"/>
                <w:szCs w:val="24"/>
                <w:bdr w:val="none" w:color="auto" w:sz="0" w:space="0"/>
              </w:rPr>
              <w:t>51</w:t>
            </w:r>
          </w:p>
        </w:tc>
        <w:tc>
          <w:tcPr>
            <w:tcW w:w="1500"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666666"/>
                <w:spacing w:val="0"/>
                <w:sz w:val="24"/>
                <w:szCs w:val="24"/>
                <w:bdr w:val="none" w:color="auto" w:sz="0" w:space="0"/>
              </w:rPr>
              <w:t>77</w:t>
            </w:r>
          </w:p>
        </w:tc>
        <w:tc>
          <w:tcPr>
            <w:tcW w:w="765"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jc w:val="center"/>
        </w:trPr>
        <w:tc>
          <w:tcPr>
            <w:tcW w:w="150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666666"/>
              </w:rPr>
            </w:pPr>
            <w:r>
              <w:rPr>
                <w:rFonts w:hint="eastAsia" w:ascii="仿宋" w:hAnsi="仿宋" w:eastAsia="仿宋" w:cs="仿宋"/>
                <w:i w:val="0"/>
                <w:iCs w:val="0"/>
                <w:caps w:val="0"/>
                <w:color w:val="000000"/>
                <w:spacing w:val="0"/>
                <w:sz w:val="22"/>
                <w:szCs w:val="22"/>
                <w:bdr w:val="none" w:color="auto" w:sz="0" w:space="0"/>
              </w:rPr>
              <w:t>045103</w:t>
            </w:r>
          </w:p>
        </w:tc>
        <w:tc>
          <w:tcPr>
            <w:tcW w:w="1995"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666666"/>
              </w:rPr>
            </w:pPr>
            <w:r>
              <w:rPr>
                <w:rFonts w:hint="eastAsia" w:ascii="仿宋" w:hAnsi="仿宋" w:eastAsia="仿宋" w:cs="仿宋"/>
                <w:i w:val="0"/>
                <w:iCs w:val="0"/>
                <w:caps w:val="0"/>
                <w:color w:val="000000"/>
                <w:spacing w:val="0"/>
                <w:sz w:val="22"/>
                <w:szCs w:val="22"/>
                <w:bdr w:val="none" w:color="auto" w:sz="0" w:space="0"/>
              </w:rPr>
              <w:t>学科教学（语文）</w:t>
            </w:r>
          </w:p>
        </w:tc>
        <w:tc>
          <w:tcPr>
            <w:tcW w:w="1380" w:type="dxa"/>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666666"/>
                <w:spacing w:val="0"/>
                <w:sz w:val="24"/>
                <w:szCs w:val="24"/>
                <w:bdr w:val="none" w:color="auto" w:sz="0" w:space="0"/>
              </w:rPr>
              <w:t>51</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仿宋" w:hAnsi="仿宋" w:eastAsia="仿宋" w:cs="仿宋"/>
                <w:i w:val="0"/>
                <w:iCs w:val="0"/>
                <w:caps w:val="0"/>
                <w:color w:val="666666"/>
                <w:spacing w:val="0"/>
                <w:sz w:val="24"/>
                <w:szCs w:val="24"/>
                <w:bdr w:val="none" w:color="auto" w:sz="0" w:space="0"/>
              </w:rPr>
              <w:t>77</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351</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进入复试的考生名单以我校研究生院公布的为准。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采用中国移动“云考场”平台，以网络远程方式线上进行。考生需PC端下载安装云考场程序(选择windows下载)，PC端下载地址：https://down.yunkaoai.com/，安装成功后，安卓系统手机打开此网址下载云考场-专业版手机APP，iOS系统直接在App Store里搜索云考场-专业版进行下载。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平台具体要求详见附件1《西安外国语大学2022年硕士研究生招生考试网络远程复试指南》，网络远程复试考场规则详见附件2《西安外国语大学2022年硕士研究生招生考试网络远程复试考场规则》。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2022年3月27日-28日。调剂考生的复试时间请关注研招网通知。（3月26日为模拟演练时间）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学科教学英语为3月27日，其余专业为3月28日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复试考生于3月25日17：00前提交资格审查电子版材料至云考场平台。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提交材料包括：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学位证（应届生需提供完整注册的学生证）；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4.在校期间成绩单（加盖学校教务部门或档案管理部门公章）；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5.个人竞赛或科研成果材料；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6.报考“退役大学生士兵专项硕士研究生招生计划”的考生，须携带本人《入伍证》和《退出现役证》。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7.符合教育部加分政策的考生，须提交相关支撑材料。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8.未通过学历（学籍）网上校验的考生，提交“中国高等教学学生信息网（学信网）”下载的《学籍在线验证报告》及《学历证书电子注册备案表》。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9.学院将留存好审核资料。学院主管领导及审查人对审查结果负责。未进行资格审查或资格审查不合格的考生，不予复试。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10.说明：以上材料均需在新生入学审查阶段提供原件进行审核，请考生务必完整、准确、清晰提供，考生如提供任何虚假、错误材料和信息，一经发现将根据相关规定取消考生录取资格。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未提交材料者不得参加线上报到和复试，规定时间前不发送材料者将视为自动放弃复试资格。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（一）面试与外语听说能力测试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（1）专业素质和能力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①大学阶段学习情况及取得的主要成绩或工作期间的习情况及主要成绩；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②对本专业理论知识和应用技能掌握程度，利用所学理论发现、分析和解决问题的能力，对本学科发展动态的了解以及在本专业领域发展的潜力；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③创新精神与创新能力。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（2）综合素质和能力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①思想政治素质和道德品质等;思想政治考核成绩分为合格与不合格。不合格不予录取。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②本专业以外的学习、科研、社会实践或实际工作表现等方面的情况；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③事业心、责任感、纪律性、协作性和心理健康情况；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④人文素养、举止表达和礼仪等。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（3）外语听说能力素养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①具有较为扎实的外语语言基本功；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②具有良好的外语表达能力；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③具备一定的专业外语学习基础。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（二）同等学力加试（笔试，单独通知）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教育学》考核内容（满分100分）：教育与教育学概论、教育与社会、教育与个体发展、教育目的、教育功能、教育制度、教育评价、教师与学生、课程（课程类型、课程流派和课程改革趋势等）、教学（教学模式、教学设计、教学原则和教学方法等）、班级管理、教改科研等方面的理论与实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教育心理学》考核内容（满分100分）：主要包括教育心理学概论、学习心理、教学心理和教育心理测评。其中学习心理考查学习心理的类型及特点、不同流派学习理论、学习迁移、学习动机、学习策略、问题解决与创造性及品德的形成与培养等；教学心理考查教学设计、有效教学策略、教师心理以及课堂管理心理问题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考生应按照我院通知的复试时间准时参加远程线上复试，无特殊原因未按规定时间到场的，迟到20分钟以上者视为自动放弃复试资格。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步骤一：登录复试平台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通过“人脸识别”验证身份；签订《西安外国语大学2022年硕士研究生招生网络远程复试考生诚信承诺书》；设置“音频”和“视频”（第一、二机位）。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步骤二：进入候考区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 根据随机号确定复试顺序；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 配合工作人员检查复试环境。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步骤三：进入复试区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 手持摄像头，环绕360度展示应试环境；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 手持身份证、准考生向考官展示，等待考官截屏；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c. 个人自述；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d. 随机抽取试题并回答。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步骤四：复试后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 复试结束后，按照指令离开复试区，主动退出复试界面，退场后不得再进入候考区或复试区；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 身份核验：学校通过复试截屏图片与现有数据库进行再次比对；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c. 资格复查：入学3个月内，学校对所有考生进行全面复查。复查不合格的，取消学籍。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应认真阅读《西安外国语大学2022年硕士研究生招生考试网络远程复试指南》和《西安外国语大学2022年硕士研究生招生考试网络远程复试考场规则》，按要求备妥软硬件复试条件和网络环境，提前安装指定软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2.考生必须参加3月26日的考前系统测试，具体安排留意云考场公告。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八、总成绩计算办法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复试成绩=专业素养考核成绩。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总成绩=（考生初试总成绩÷初试各科满分之和）×70+（考生复试成绩÷复试满分）×30。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总成绩采用百分制，保留小数点后两位，四舍五入。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一志愿考生录取时按照考生总成绩从高到低进行排名，若总成绩相同，按照考生初试自命题总成绩从高到低排序，无自命题专业按照初试总成绩排序。调剂生的录取参照该原则执行。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拟录取考生须参加体检，凡不参加体检或体检不合格考生取消拟录取资格，具体体检时间另行通知。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十、违规处理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按照学校有关要求，考生应诚信应试，对在考试过程中，违反诚信、规范应试相关规定者，无论何时，一经发现，将取消考试成绩或录取资格，触犯法律的，按有关法律法规进行处理。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十一、监督和复议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完成后，学院将一志愿拟录取名单和调剂拟录取名单、考生总成绩排名报送研究生院，由研究生院审核后，报送学校研究生招生工作领导小组审议，审议通过后由研究生院公示拟录取名单，公示期不少于10个工作日。</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2230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2022-03-28T06:28:45Z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